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216E1">
      <w:pPr>
        <w:pStyle w:val="12"/>
        <w:spacing w:line="572" w:lineRule="exact"/>
      </w:pPr>
      <w:r>
        <w:rPr>
          <w:rFonts w:hint="eastAsia"/>
        </w:rPr>
        <w:t>江汉大学外国语学院教师教学工作</w:t>
      </w:r>
    </w:p>
    <w:p w14:paraId="1857DDFF">
      <w:pPr>
        <w:pStyle w:val="12"/>
        <w:spacing w:line="572" w:lineRule="exact"/>
      </w:pPr>
      <w:r>
        <w:rPr>
          <w:rFonts w:hint="eastAsia"/>
        </w:rPr>
        <w:t>考核实施细则（试行）</w:t>
      </w:r>
    </w:p>
    <w:p w14:paraId="10B7B7F5">
      <w:pPr>
        <w:pStyle w:val="12"/>
        <w:spacing w:line="572" w:lineRule="exact"/>
      </w:pPr>
    </w:p>
    <w:p w14:paraId="29572A21">
      <w:pPr>
        <w:pStyle w:val="19"/>
        <w:spacing w:before="120" w:after="120" w:line="600" w:lineRule="exact"/>
        <w:ind w:firstLine="0" w:firstLineChars="0"/>
        <w:jc w:val="center"/>
        <w:rPr>
          <w:rFonts w:hint="default"/>
        </w:rPr>
      </w:pPr>
      <w:r>
        <w:t>第一章  总则</w:t>
      </w:r>
    </w:p>
    <w:p w14:paraId="0E67A9E6">
      <w:pPr>
        <w:spacing w:line="600" w:lineRule="exact"/>
        <w:ind w:firstLine="632"/>
      </w:pPr>
      <w:r>
        <w:rPr>
          <w:rFonts w:hint="eastAsia" w:ascii="黑体" w:hAnsi="黑体" w:eastAsia="黑体"/>
        </w:rPr>
        <w:t xml:space="preserve">第一条 </w:t>
      </w:r>
      <w:r>
        <w:rPr>
          <w:rFonts w:hint="eastAsia"/>
        </w:rPr>
        <w:t xml:space="preserve"> </w:t>
      </w:r>
      <w:r>
        <w:t>为规范外国语学院教学管理，落实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《江汉大学关于印发教师师德考核管理办法》（江校人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〔202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4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〕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19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号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）、</w:t>
      </w:r>
      <w:r>
        <w:t>《江汉大学教师教学工作考核办法（试行）》（江校教〔2026〕7号）</w:t>
      </w:r>
      <w:r>
        <w:rPr>
          <w:rFonts w:hint="eastAsia"/>
        </w:rPr>
        <w:t>、</w:t>
      </w:r>
      <w:r>
        <w:t>《江汉大学教师岗位分类管理实施办法》（江校人〔202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5〕21号）</w:t>
      </w:r>
      <w:r>
        <w:t>等文件精神，结合学院教学工作实际，制定实施细则。</w:t>
      </w:r>
    </w:p>
    <w:p w14:paraId="38806266">
      <w:pPr>
        <w:spacing w:line="600" w:lineRule="exact"/>
        <w:ind w:firstLine="632"/>
      </w:pPr>
      <w:r>
        <w:rPr>
          <w:rFonts w:ascii="黑体" w:hAnsi="黑体" w:eastAsia="黑体"/>
        </w:rPr>
        <w:t>第</w:t>
      </w:r>
      <w:r>
        <w:rPr>
          <w:rFonts w:hint="eastAsia" w:ascii="黑体" w:hAnsi="黑体" w:eastAsia="黑体"/>
        </w:rPr>
        <w:t>二</w:t>
      </w:r>
      <w:r>
        <w:rPr>
          <w:rFonts w:ascii="黑体" w:hAnsi="黑体" w:eastAsia="黑体"/>
        </w:rPr>
        <w:t>条</w:t>
      </w:r>
      <w:r>
        <w:t xml:space="preserve">  本细则适用于外国语学院教师教学工作考核。突出人才培养中心地位，引导教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师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立德树人、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潜心教学</w:t>
      </w:r>
      <w:r>
        <w:t>，不断提高人才培养质量。坚持公平、公开、公正原则，采用</w:t>
      </w:r>
      <w:r>
        <w:rPr>
          <w:rFonts w:hint="eastAsia"/>
        </w:rPr>
        <w:t>学院</w:t>
      </w:r>
      <w:r>
        <w:rPr>
          <w:rFonts w:hint="eastAsia"/>
          <w:lang w:val="en-US" w:eastAsia="zh-CN"/>
        </w:rPr>
        <w:t>评价</w:t>
      </w:r>
      <w:r>
        <w:t>和学生</w:t>
      </w:r>
      <w:r>
        <w:rPr>
          <w:rFonts w:hint="eastAsia"/>
          <w:lang w:val="en-US" w:eastAsia="zh-CN"/>
        </w:rPr>
        <w:t>评价</w:t>
      </w:r>
      <w:r>
        <w:t>相结合的方式，在学校管理下以学院为主体组织实施。</w:t>
      </w:r>
    </w:p>
    <w:p w14:paraId="6564C7B8">
      <w:pPr>
        <w:spacing w:line="600" w:lineRule="exact"/>
        <w:ind w:firstLine="632"/>
      </w:pPr>
      <w:r>
        <w:rPr>
          <w:rFonts w:ascii="黑体" w:hAnsi="黑体" w:eastAsia="黑体"/>
        </w:rPr>
        <w:t>第</w:t>
      </w:r>
      <w:r>
        <w:rPr>
          <w:rFonts w:hint="eastAsia" w:ascii="黑体" w:hAnsi="黑体" w:eastAsia="黑体"/>
        </w:rPr>
        <w:t>三</w:t>
      </w:r>
      <w:r>
        <w:rPr>
          <w:rFonts w:ascii="黑体" w:hAnsi="黑体" w:eastAsia="黑体"/>
        </w:rPr>
        <w:t>条</w:t>
      </w:r>
      <w:r>
        <w:t xml:space="preserve">  </w:t>
      </w:r>
      <w:r>
        <w:rPr>
          <w:rFonts w:hint="eastAsia"/>
        </w:rPr>
        <w:t>学院教师教学工作考核指标体系由教学工作量、教学质量、教学成果三部分构成。三部分所占比例为：教学工作量占50%、教学质量占40%、教学成果占10%。</w:t>
      </w:r>
    </w:p>
    <w:p w14:paraId="4D3E5238">
      <w:pPr>
        <w:pStyle w:val="19"/>
        <w:spacing w:before="120" w:after="120" w:line="600" w:lineRule="exact"/>
        <w:ind w:firstLine="0" w:firstLineChars="0"/>
        <w:jc w:val="center"/>
        <w:rPr>
          <w:rFonts w:hint="default"/>
        </w:rPr>
      </w:pPr>
      <w:r>
        <w:t>第二章  考核组织及程序</w:t>
      </w:r>
    </w:p>
    <w:p w14:paraId="4136B8C2">
      <w:pPr>
        <w:spacing w:line="600" w:lineRule="exact"/>
        <w:ind w:firstLine="632"/>
      </w:pPr>
      <w:r>
        <w:rPr>
          <w:rFonts w:ascii="黑体" w:hAnsi="黑体" w:eastAsia="黑体"/>
        </w:rPr>
        <w:t>第</w:t>
      </w:r>
      <w:r>
        <w:rPr>
          <w:rFonts w:hint="eastAsia" w:ascii="黑体" w:hAnsi="黑体" w:eastAsia="黑体"/>
        </w:rPr>
        <w:t>四</w:t>
      </w:r>
      <w:r>
        <w:rPr>
          <w:rFonts w:ascii="黑体" w:hAnsi="黑体" w:eastAsia="黑体"/>
        </w:rPr>
        <w:t>条</w:t>
      </w:r>
      <w:r>
        <w:t xml:space="preserve">  学院成立教师教学工作考核领导小组。组长由学院</w:t>
      </w:r>
      <w:r>
        <w:rPr>
          <w:rFonts w:hint="eastAsia"/>
        </w:rPr>
        <w:t>党政</w:t>
      </w:r>
      <w:r>
        <w:t>负责人担任，副组长由分管</w:t>
      </w:r>
      <w:r>
        <w:rPr>
          <w:rFonts w:hint="eastAsia"/>
        </w:rPr>
        <w:t>本科与研究生</w:t>
      </w:r>
      <w:r>
        <w:t>教学工作的副院长担任，成员为全体院领导、各系（部）主任、院级教学督导和教师代表。领导小组负责根据学校总体要求，结合学院实际和外语学科专业特点，制定学院教师教学工作考核实施细则及指标体系，组织实施考核工作，处理工作中的问题和意见。</w:t>
      </w:r>
    </w:p>
    <w:p w14:paraId="6AEE601C">
      <w:pPr>
        <w:spacing w:line="600" w:lineRule="exact"/>
        <w:ind w:firstLine="632"/>
      </w:pPr>
      <w:r>
        <w:rPr>
          <w:rFonts w:ascii="黑体" w:hAnsi="黑体" w:eastAsia="黑体"/>
        </w:rPr>
        <w:t>第</w:t>
      </w:r>
      <w:r>
        <w:rPr>
          <w:rFonts w:hint="eastAsia" w:ascii="黑体" w:hAnsi="黑体" w:eastAsia="黑体"/>
        </w:rPr>
        <w:t>五</w:t>
      </w:r>
      <w:r>
        <w:rPr>
          <w:rFonts w:ascii="黑体" w:hAnsi="黑体" w:eastAsia="黑体"/>
        </w:rPr>
        <w:t>条</w:t>
      </w:r>
      <w:r>
        <w:t xml:space="preserve">  领导小组下设办公室，办公室设在学院教学办公室，负责考核日常工作、材料汇总与公示备案等具体事务。</w:t>
      </w:r>
    </w:p>
    <w:p w14:paraId="5109CD9F">
      <w:pPr>
        <w:spacing w:line="600" w:lineRule="exact"/>
        <w:ind w:firstLine="632"/>
      </w:pPr>
      <w:r>
        <w:rPr>
          <w:rFonts w:ascii="黑体" w:hAnsi="黑体" w:eastAsia="黑体"/>
        </w:rPr>
        <w:t>第</w:t>
      </w:r>
      <w:r>
        <w:rPr>
          <w:rFonts w:hint="eastAsia" w:ascii="黑体" w:hAnsi="黑体" w:eastAsia="黑体"/>
        </w:rPr>
        <w:t>六</w:t>
      </w:r>
      <w:r>
        <w:rPr>
          <w:rFonts w:ascii="黑体" w:hAnsi="黑体" w:eastAsia="黑体"/>
        </w:rPr>
        <w:t>条</w:t>
      </w:r>
      <w:r>
        <w:t xml:space="preserve">  教师教学工作考核按下列程序进行：（一）学校下发教师教学工作考核通知；（二）学院制定本实施细则</w:t>
      </w:r>
      <w:r>
        <w:rPr>
          <w:rFonts w:hint="eastAsia"/>
        </w:rPr>
        <w:t>（含指标体系，见附件）</w:t>
      </w:r>
      <w:r>
        <w:t>，经</w:t>
      </w:r>
      <w:r>
        <w:rPr>
          <w:rFonts w:hint="eastAsia"/>
        </w:rPr>
        <w:t>学院党政联席会审定并公示无异议后，</w:t>
      </w:r>
      <w:r>
        <w:t>报学校教师教学工作考核领导小组审核备案；（三）学院依据审核备案实施细则组织实施考核；（四）考核结果在学院公示，无异议后报学校教师教学工作考核领导小组；（五）学校领导小组办公室汇总审核，确定最终考核结果，报校长办公会审定后发文公布。</w:t>
      </w:r>
    </w:p>
    <w:p w14:paraId="12689E4E">
      <w:pPr>
        <w:pStyle w:val="19"/>
        <w:spacing w:before="120" w:after="120" w:line="600" w:lineRule="exact"/>
        <w:ind w:firstLine="0" w:firstLineChars="0"/>
        <w:jc w:val="center"/>
        <w:rPr>
          <w:rFonts w:hint="default"/>
        </w:rPr>
      </w:pPr>
      <w:r>
        <w:t>第三章  考核内容</w:t>
      </w:r>
    </w:p>
    <w:p w14:paraId="3B357B76">
      <w:pPr>
        <w:spacing w:line="600" w:lineRule="exact"/>
        <w:ind w:firstLine="632"/>
        <w:rPr>
          <w:highlight w:val="yellow"/>
        </w:rPr>
      </w:pPr>
      <w:r>
        <w:rPr>
          <w:rFonts w:ascii="黑体" w:hAnsi="黑体" w:eastAsia="黑体"/>
        </w:rPr>
        <w:t>第</w:t>
      </w:r>
      <w:r>
        <w:rPr>
          <w:rFonts w:hint="eastAsia" w:ascii="黑体" w:hAnsi="黑体" w:eastAsia="黑体"/>
        </w:rPr>
        <w:t>七</w:t>
      </w:r>
      <w:r>
        <w:rPr>
          <w:rFonts w:ascii="黑体" w:hAnsi="黑体" w:eastAsia="黑体"/>
        </w:rPr>
        <w:t>条</w:t>
      </w:r>
      <w:r>
        <w:t xml:space="preserve">  教师教学考核工作量参照《江汉大学教师岗位分类管理实施办法》额定标准制定。</w:t>
      </w:r>
    </w:p>
    <w:p w14:paraId="6B114E26">
      <w:pPr>
        <w:spacing w:line="600" w:lineRule="exact"/>
        <w:ind w:firstLine="632"/>
      </w:pPr>
      <w:r>
        <w:rPr>
          <w:rFonts w:ascii="黑体" w:hAnsi="黑体" w:eastAsia="黑体"/>
        </w:rPr>
        <w:t>第</w:t>
      </w:r>
      <w:r>
        <w:rPr>
          <w:rFonts w:hint="eastAsia" w:ascii="黑体" w:hAnsi="黑体" w:eastAsia="黑体"/>
        </w:rPr>
        <w:t>八</w:t>
      </w:r>
      <w:r>
        <w:rPr>
          <w:rFonts w:ascii="黑体" w:hAnsi="黑体" w:eastAsia="黑体"/>
        </w:rPr>
        <w:t>条</w:t>
      </w:r>
      <w:r>
        <w:t xml:space="preserve">  担任管理职务的教师，其教学考核工作量按以下标准折算：中层正职（含主持工作副职）、中层副职、系主任、副系主任、教研室主任的考核工作量分别为额定标准的1/3、1/2、3/4、4/5、7/8。经学校批准病休、休产假、挂职（脱产）以及其他原因不能开展教学工作的，按相应时间比例确定教学考核工作量。</w:t>
      </w:r>
      <w:r>
        <w:rPr>
          <w:rFonts w:hint="eastAsia"/>
        </w:rPr>
        <w:t>2025-2026学年第一学期</w:t>
      </w:r>
      <w:r>
        <w:t>工作量按</w:t>
      </w:r>
      <w:r>
        <w:rPr>
          <w:rFonts w:hint="eastAsia"/>
        </w:rPr>
        <w:t>《</w:t>
      </w:r>
      <w:r>
        <w:t>江汉大学关于印发教师教学及教学建设与改革工作量计算办法（试行）的通知</w:t>
      </w:r>
      <w:r>
        <w:rPr>
          <w:rFonts w:hint="eastAsia"/>
        </w:rPr>
        <w:t>》（江校教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〔20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19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〕</w:t>
      </w:r>
      <w:r>
        <w:rPr>
          <w:rFonts w:hint="eastAsia"/>
        </w:rPr>
        <w:t>36号</w:t>
      </w:r>
      <w:bookmarkStart w:id="0" w:name="OLE_LINK2"/>
      <w:r>
        <w:rPr>
          <w:rFonts w:hint="eastAsia"/>
        </w:rPr>
        <w:t>）</w:t>
      </w:r>
      <w:bookmarkEnd w:id="0"/>
      <w:r>
        <w:rPr>
          <w:rFonts w:hint="eastAsia"/>
        </w:rPr>
        <w:t>文件</w:t>
      </w:r>
      <w:r>
        <w:t>标准</w:t>
      </w:r>
      <w:r>
        <w:rPr>
          <w:rFonts w:hint="eastAsia"/>
        </w:rPr>
        <w:t>执行</w:t>
      </w:r>
      <w:r>
        <w:t>折算</w:t>
      </w:r>
      <w:r>
        <w:rPr>
          <w:rFonts w:hint="eastAsia"/>
        </w:rPr>
        <w:t>。</w:t>
      </w:r>
    </w:p>
    <w:p w14:paraId="605B9F9E">
      <w:pPr>
        <w:spacing w:line="600" w:lineRule="exact"/>
        <w:ind w:firstLine="632"/>
      </w:pPr>
      <w:r>
        <w:rPr>
          <w:rFonts w:ascii="黑体" w:hAnsi="黑体" w:eastAsia="黑体"/>
        </w:rPr>
        <w:t>第</w:t>
      </w:r>
      <w:r>
        <w:rPr>
          <w:rFonts w:hint="eastAsia" w:ascii="黑体" w:hAnsi="黑体" w:eastAsia="黑体"/>
        </w:rPr>
        <w:t>九</w:t>
      </w:r>
      <w:r>
        <w:rPr>
          <w:rFonts w:ascii="黑体" w:hAnsi="黑体" w:eastAsia="黑体"/>
        </w:rPr>
        <w:t>条</w:t>
      </w:r>
      <w:r>
        <w:t xml:space="preserve">  落实教授为本科生上课制度，全体教授每年度须主讲至少1门本科生课程。</w:t>
      </w:r>
    </w:p>
    <w:p w14:paraId="5AD2422D">
      <w:pPr>
        <w:spacing w:line="600" w:lineRule="exact"/>
        <w:ind w:firstLine="632"/>
      </w:pPr>
      <w:r>
        <w:rPr>
          <w:rFonts w:ascii="黑体" w:hAnsi="黑体" w:eastAsia="黑体"/>
        </w:rPr>
        <w:t>第</w:t>
      </w:r>
      <w:r>
        <w:rPr>
          <w:rFonts w:hint="eastAsia" w:ascii="黑体" w:hAnsi="黑体" w:eastAsia="黑体"/>
        </w:rPr>
        <w:t>十</w:t>
      </w:r>
      <w:r>
        <w:rPr>
          <w:rFonts w:ascii="黑体" w:hAnsi="黑体" w:eastAsia="黑体"/>
        </w:rPr>
        <w:t>条</w:t>
      </w:r>
      <w:r>
        <w:t xml:space="preserve">  教学质量考核主要包括</w:t>
      </w:r>
      <w:r>
        <w:rPr>
          <w:rFonts w:hint="eastAsia"/>
        </w:rPr>
        <w:t>学院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评价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和学生评价等。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课堂教学质量评价分为学院评价和学生评价两大部分，学院评价和学生评价按8:2的比例形成教师课堂</w:t>
      </w:r>
      <w:r>
        <w:rPr>
          <w:rFonts w:hint="eastAsia"/>
        </w:rPr>
        <w:t>教学质量最终得分。</w:t>
      </w:r>
    </w:p>
    <w:p w14:paraId="122D05BD">
      <w:pPr>
        <w:spacing w:line="600" w:lineRule="exact"/>
        <w:ind w:firstLine="632"/>
      </w:pPr>
      <w:r>
        <w:rPr>
          <w:rFonts w:ascii="黑体" w:hAnsi="黑体" w:eastAsia="黑体"/>
        </w:rPr>
        <w:t>第十</w:t>
      </w:r>
      <w:r>
        <w:rPr>
          <w:rFonts w:hint="eastAsia" w:ascii="黑体" w:hAnsi="黑体" w:eastAsia="黑体"/>
        </w:rPr>
        <w:t>一</w:t>
      </w:r>
      <w:r>
        <w:rPr>
          <w:rFonts w:ascii="黑体" w:hAnsi="黑体" w:eastAsia="黑体"/>
        </w:rPr>
        <w:t>条</w:t>
      </w:r>
      <w:r>
        <w:t xml:space="preserve">  </w:t>
      </w:r>
      <w:r>
        <w:rPr>
          <w:rFonts w:hint="eastAsia"/>
        </w:rPr>
        <w:t>学院评价由学院负责组织实施，学院组建学院评价工作小组对教师进行集中评议赋分，成员包括全体院领导、教办主任、各系主任、学院教学督导、教师代表。学院评价实行百分制，满分为100分。学院评价要将过程评价、对象评价、结果评价结合起来，充分参考平时的课堂教学质量、课堂教学巡查、期中教学检查、学生期末考试成绩等数据和表现情况，并注意教师之间的分数区分。</w:t>
      </w:r>
    </w:p>
    <w:p w14:paraId="2C3F2F7F">
      <w:pPr>
        <w:spacing w:line="600" w:lineRule="exact"/>
        <w:ind w:firstLine="632"/>
      </w:pPr>
      <w:r>
        <w:rPr>
          <w:rFonts w:hint="eastAsia"/>
        </w:rPr>
        <w:t>学生评价由教学督导与评估中心负责组织实施，根据教务管理系统中学生对教师的</w:t>
      </w:r>
      <w:r>
        <w:rPr>
          <w:rFonts w:hint="eastAsia"/>
          <w:lang w:val="en-US" w:eastAsia="zh-CN"/>
        </w:rPr>
        <w:t>评价</w:t>
      </w:r>
      <w:r>
        <w:rPr>
          <w:rFonts w:hint="eastAsia"/>
        </w:rPr>
        <w:t>分数确定，并统一录入系统。</w:t>
      </w:r>
    </w:p>
    <w:p w14:paraId="685F8739">
      <w:pPr>
        <w:spacing w:line="600" w:lineRule="exact"/>
        <w:ind w:firstLine="632"/>
      </w:pPr>
      <w:r>
        <w:rPr>
          <w:rFonts w:ascii="黑体" w:hAnsi="黑体" w:eastAsia="黑体"/>
        </w:rPr>
        <w:t>第十</w:t>
      </w:r>
      <w:r>
        <w:rPr>
          <w:rFonts w:hint="eastAsia" w:ascii="黑体" w:hAnsi="黑体" w:eastAsia="黑体"/>
        </w:rPr>
        <w:t>二</w:t>
      </w:r>
      <w:r>
        <w:rPr>
          <w:rFonts w:ascii="黑体" w:hAnsi="黑体" w:eastAsia="黑体"/>
        </w:rPr>
        <w:t>条</w:t>
      </w:r>
      <w:r>
        <w:t xml:space="preserve">  </w:t>
      </w:r>
      <w:r>
        <w:rPr>
          <w:rFonts w:hint="eastAsia"/>
        </w:rPr>
        <w:t>教学成果主要包括指导学科竞赛、指导学生科研、指导学生实践活动，教研与教改项目、教学（教研）成果、质量工程项目、教材建设、教学研究论文或论著等内容。</w:t>
      </w:r>
    </w:p>
    <w:p w14:paraId="147304CA">
      <w:pPr>
        <w:pStyle w:val="19"/>
        <w:spacing w:before="120" w:after="120" w:line="600" w:lineRule="exact"/>
        <w:ind w:firstLine="0" w:firstLineChars="0"/>
        <w:jc w:val="center"/>
        <w:rPr>
          <w:rFonts w:hint="default"/>
        </w:rPr>
      </w:pPr>
      <w:r>
        <w:t>第四章  考核结果及应用</w:t>
      </w:r>
    </w:p>
    <w:p w14:paraId="7F0B3062">
      <w:pPr>
        <w:spacing w:line="600" w:lineRule="exact"/>
        <w:ind w:firstLine="632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</w:rPr>
        <w:t>第十</w:t>
      </w:r>
      <w:r>
        <w:rPr>
          <w:rFonts w:hint="eastAsia" w:ascii="黑体" w:hAnsi="黑体" w:eastAsia="黑体"/>
        </w:rPr>
        <w:t>三</w:t>
      </w:r>
      <w:r>
        <w:rPr>
          <w:rFonts w:ascii="黑体" w:hAnsi="黑体" w:eastAsia="黑体"/>
        </w:rPr>
        <w:t>条</w:t>
      </w:r>
      <w:r>
        <w:t xml:space="preserve">  教师教学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工作考核结果分为优秀、合格、基本合格、不合格4个等次。有下列情形之一的，考核等次不能为优秀：未完成学院制定的教学考核工作量；教学中出现被认定为Ⅲ级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及以上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教学事故；其他不能考核为优秀的情况。</w:t>
      </w:r>
    </w:p>
    <w:p w14:paraId="19D6D984">
      <w:pPr>
        <w:spacing w:line="600" w:lineRule="exact"/>
        <w:ind w:firstLine="632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四</w:t>
      </w:r>
      <w:r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条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有下列情形之一的，考核等次为基本合格：教学中出现被认定为Ⅱ级教学事故；无正当理由，教授不为本科生上课；其他应考核为基本合格的情况。</w:t>
      </w:r>
    </w:p>
    <w:p w14:paraId="122B8DF9">
      <w:pPr>
        <w:spacing w:line="600" w:lineRule="exact"/>
        <w:ind w:firstLine="632"/>
      </w:pPr>
      <w:r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第十</w:t>
      </w:r>
      <w:r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五</w:t>
      </w:r>
      <w:r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条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有下列情形之一的，考核等次为不合格：教学中出现被认定为Ⅰ级教学事故；无正当理由，</w:t>
      </w:r>
      <w:r>
        <w:t>未承担教学任务或不接受学院教学工作安排；其他应考核为不合格的情况。</w:t>
      </w:r>
    </w:p>
    <w:p w14:paraId="3B0ED758">
      <w:pPr>
        <w:spacing w:line="600" w:lineRule="exact"/>
        <w:ind w:firstLine="632"/>
      </w:pPr>
      <w:r>
        <w:rPr>
          <w:rFonts w:ascii="黑体" w:hAnsi="黑体" w:eastAsia="黑体"/>
        </w:rPr>
        <w:t>第十</w:t>
      </w:r>
      <w:r>
        <w:rPr>
          <w:rFonts w:hint="eastAsia" w:ascii="黑体" w:hAnsi="黑体" w:eastAsia="黑体"/>
        </w:rPr>
        <w:t>六</w:t>
      </w:r>
      <w:r>
        <w:rPr>
          <w:rFonts w:ascii="黑体" w:hAnsi="黑体" w:eastAsia="黑体"/>
        </w:rPr>
        <w:t>条</w:t>
      </w:r>
      <w:r>
        <w:t xml:space="preserve">  学院教学工作考核优秀等次名额，根据学院绩效评价中“教学与人才培养”上一年度排名确定，按学校下达的优秀指标比例、依据四舍五入原则核定。</w:t>
      </w:r>
    </w:p>
    <w:p w14:paraId="59A6C4D0">
      <w:pPr>
        <w:spacing w:line="600" w:lineRule="exact"/>
        <w:ind w:firstLine="632"/>
      </w:pPr>
      <w:r>
        <w:rPr>
          <w:rFonts w:ascii="黑体" w:hAnsi="黑体" w:eastAsia="黑体"/>
        </w:rPr>
        <w:t>第十</w:t>
      </w:r>
      <w:r>
        <w:rPr>
          <w:rFonts w:hint="eastAsia" w:ascii="黑体" w:hAnsi="黑体" w:eastAsia="黑体"/>
        </w:rPr>
        <w:t>七</w:t>
      </w:r>
      <w:r>
        <w:rPr>
          <w:rFonts w:ascii="黑体" w:hAnsi="黑体" w:eastAsia="黑体"/>
        </w:rPr>
        <w:t>条</w:t>
      </w:r>
      <w:r>
        <w:t xml:space="preserve">  教师教学工作考核结果是教师年度考核和聘期考核的重要组成部分，纳入教师业务档案，作为教师年度考核、岗位聘任与职称晋升的重要依据。</w:t>
      </w:r>
    </w:p>
    <w:p w14:paraId="3E739D69">
      <w:pPr>
        <w:spacing w:line="600" w:lineRule="exact"/>
        <w:ind w:firstLine="632"/>
      </w:pPr>
      <w:r>
        <w:rPr>
          <w:rFonts w:ascii="黑体" w:hAnsi="黑体" w:eastAsia="黑体"/>
        </w:rPr>
        <w:t>第十</w:t>
      </w:r>
      <w:r>
        <w:rPr>
          <w:rFonts w:hint="eastAsia" w:ascii="黑体" w:hAnsi="黑体" w:eastAsia="黑体"/>
        </w:rPr>
        <w:t>八</w:t>
      </w:r>
      <w:r>
        <w:rPr>
          <w:rFonts w:ascii="黑体" w:hAnsi="黑体" w:eastAsia="黑体"/>
        </w:rPr>
        <w:t>条</w:t>
      </w:r>
      <w:r>
        <w:t xml:space="preserve">  考核结果为基本合格的教师，要积极整改，经学校组织教学专业评价认可后，可继续从事教学工作。主要因教学质量原因考核结果为不合格的教师，暂停其教学工作一学期，在此期间当事人应参加学校教师发展中心组织的培训，经学校组织教学专业评价达到合格要求，方可重新上岗。连续2年考核为基本合格的，按一次不合格计算。</w:t>
      </w:r>
    </w:p>
    <w:p w14:paraId="7F725E3C">
      <w:pPr>
        <w:spacing w:line="600" w:lineRule="exact"/>
        <w:ind w:firstLine="632"/>
      </w:pPr>
      <w:r>
        <w:rPr>
          <w:rFonts w:ascii="黑体" w:hAnsi="黑体" w:eastAsia="黑体"/>
        </w:rPr>
        <w:t>第</w:t>
      </w:r>
      <w:r>
        <w:rPr>
          <w:rFonts w:hint="eastAsia" w:ascii="黑体" w:hAnsi="黑体" w:eastAsia="黑体"/>
        </w:rPr>
        <w:t>十九</w:t>
      </w:r>
      <w:r>
        <w:rPr>
          <w:rFonts w:ascii="黑体" w:hAnsi="黑体" w:eastAsia="黑体"/>
        </w:rPr>
        <w:t>条</w:t>
      </w:r>
      <w:r>
        <w:t xml:space="preserve">  教师若对学院考核结果有异议，可向学院教师教学工作考核领导小组提出申诉，领导小组应调查核实并向当事人反馈；如仍有异议，报学校教师教学工作考核领导小组复议裁定。</w:t>
      </w:r>
    </w:p>
    <w:p w14:paraId="7F7376EE">
      <w:pPr>
        <w:pStyle w:val="19"/>
        <w:spacing w:before="120" w:after="120" w:line="600" w:lineRule="exact"/>
        <w:ind w:firstLine="0" w:firstLineChars="0"/>
        <w:jc w:val="center"/>
        <w:rPr>
          <w:rFonts w:hint="default"/>
        </w:rPr>
      </w:pPr>
      <w:r>
        <w:t>第五章  附则</w:t>
      </w:r>
    </w:p>
    <w:p w14:paraId="3BA49799">
      <w:pPr>
        <w:spacing w:line="600" w:lineRule="exact"/>
        <w:ind w:firstLine="632"/>
      </w:pPr>
      <w:r>
        <w:rPr>
          <w:rFonts w:ascii="黑体" w:hAnsi="黑体" w:eastAsia="黑体"/>
        </w:rPr>
        <w:t>第二十条</w:t>
      </w:r>
      <w:r>
        <w:t xml:space="preserve"> </w:t>
      </w:r>
      <w:r>
        <w:rPr>
          <w:rFonts w:hint="eastAsia"/>
        </w:rPr>
        <w:t>本细则经学院党政联席会研究通过后在学院内公示，公示无异议后报学校审核备案，自审核备案之日起施行。</w:t>
      </w:r>
    </w:p>
    <w:p w14:paraId="0885E52C">
      <w:pPr>
        <w:spacing w:line="600" w:lineRule="exact"/>
        <w:ind w:firstLine="632"/>
      </w:pPr>
      <w:r>
        <w:rPr>
          <w:rFonts w:ascii="黑体" w:hAnsi="黑体" w:eastAsia="黑体"/>
        </w:rPr>
        <w:t>第二十</w:t>
      </w:r>
      <w:r>
        <w:rPr>
          <w:rFonts w:hint="eastAsia" w:ascii="黑体" w:hAnsi="黑体" w:eastAsia="黑体"/>
        </w:rPr>
        <w:t>一</w:t>
      </w:r>
      <w:r>
        <w:rPr>
          <w:rFonts w:ascii="黑体" w:hAnsi="黑体" w:eastAsia="黑体"/>
        </w:rPr>
        <w:t>条</w:t>
      </w:r>
      <w:r>
        <w:t xml:space="preserve"> 本细则由外国语学院教师教学工作考核领导小组负责解释。学校相关办法另有修订的，从其规定；本细则未尽事宜，按学校有关文件执行。</w:t>
      </w:r>
      <w:bookmarkStart w:id="1" w:name="_GoBack"/>
      <w:bookmarkEnd w:id="1"/>
      <w:r>
        <w:br w:type="page"/>
      </w:r>
    </w:p>
    <w:p w14:paraId="5ECD56EA">
      <w:pPr>
        <w:pStyle w:val="29"/>
        <w:sectPr>
          <w:footerReference r:id="rId3" w:type="default"/>
          <w:footerReference r:id="rId4" w:type="even"/>
          <w:pgSz w:w="11906" w:h="16838"/>
          <w:pgMar w:top="1962" w:right="1474" w:bottom="1848" w:left="1588" w:header="851" w:footer="1304" w:gutter="0"/>
          <w:pgNumType w:start="1"/>
          <w:cols w:space="0" w:num="1"/>
          <w:docGrid w:type="linesAndChars" w:linePitch="592" w:charSpace="-849"/>
        </w:sectPr>
      </w:pPr>
    </w:p>
    <w:p w14:paraId="555710AB">
      <w:pPr>
        <w:pStyle w:val="39"/>
        <w:jc w:val="left"/>
        <w:rPr>
          <w:rFonts w:ascii="黑体" w:hAnsi="黑体" w:eastAsia="黑体" w:cs="黑体"/>
          <w:sz w:val="28"/>
          <w:szCs w:val="21"/>
        </w:rPr>
      </w:pPr>
      <w:r>
        <w:rPr>
          <w:rFonts w:hint="eastAsia" w:ascii="黑体" w:hAnsi="黑体" w:eastAsia="黑体" w:cs="黑体"/>
          <w:sz w:val="28"/>
          <w:szCs w:val="21"/>
        </w:rPr>
        <w:t>附件：</w:t>
      </w:r>
    </w:p>
    <w:p w14:paraId="558383B6">
      <w:pPr>
        <w:pStyle w:val="39"/>
      </w:pPr>
      <w:r>
        <w:t>江汉大学教师教学工作考核指标体系</w:t>
      </w:r>
    </w:p>
    <w:tbl>
      <w:tblPr>
        <w:tblStyle w:val="6"/>
        <w:tblpPr w:leftFromText="180" w:rightFromText="180" w:vertAnchor="text" w:horzAnchor="page" w:tblpX="1467" w:tblpY="598"/>
        <w:tblOverlap w:val="never"/>
        <w:tblW w:w="14577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</w:tblPr>
      <w:tblGrid>
        <w:gridCol w:w="1542"/>
        <w:gridCol w:w="1122"/>
        <w:gridCol w:w="1585"/>
        <w:gridCol w:w="4393"/>
        <w:gridCol w:w="5935"/>
      </w:tblGrid>
      <w:tr w14:paraId="0781F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113" w:hRule="atLeast"/>
          <w:tblHeader/>
          <w:tblCellSpacing w:w="0" w:type="dxa"/>
        </w:trPr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 w14:paraId="05225D16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122" w:type="dxa"/>
            <w:tcBorders>
              <w:tl2br w:val="nil"/>
              <w:tr2bl w:val="nil"/>
            </w:tcBorders>
            <w:vAlign w:val="center"/>
          </w:tcPr>
          <w:p w14:paraId="171A88D2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1585" w:type="dxa"/>
            <w:tcBorders>
              <w:tl2br w:val="nil"/>
              <w:tr2bl w:val="nil"/>
            </w:tcBorders>
            <w:vAlign w:val="center"/>
          </w:tcPr>
          <w:p w14:paraId="4E18F15D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主要测评点</w:t>
            </w: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311C7D0D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单项分值</w:t>
            </w:r>
          </w:p>
        </w:tc>
        <w:tc>
          <w:tcPr>
            <w:tcW w:w="5935" w:type="dxa"/>
            <w:tcBorders>
              <w:tl2br w:val="nil"/>
              <w:tr2bl w:val="nil"/>
            </w:tcBorders>
            <w:vAlign w:val="center"/>
          </w:tcPr>
          <w:p w14:paraId="08D003FE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填报说明（S1/S2/S3满分单项100分封顶）</w:t>
            </w:r>
          </w:p>
        </w:tc>
      </w:tr>
      <w:tr w14:paraId="63B15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624" w:hRule="atLeast"/>
          <w:tblCellSpacing w:w="0" w:type="dxa"/>
        </w:trPr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 w14:paraId="06C742D2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教学工作量</w:t>
            </w:r>
          </w:p>
          <w:p w14:paraId="531F9C33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S1</w:t>
            </w:r>
          </w:p>
        </w:tc>
        <w:tc>
          <w:tcPr>
            <w:tcW w:w="1122" w:type="dxa"/>
            <w:tcBorders>
              <w:tl2br w:val="nil"/>
              <w:tr2bl w:val="nil"/>
            </w:tcBorders>
            <w:vAlign w:val="center"/>
          </w:tcPr>
          <w:p w14:paraId="4FDA73A7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年度教学</w:t>
            </w:r>
          </w:p>
          <w:p w14:paraId="20F320F6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工作量</w:t>
            </w:r>
          </w:p>
        </w:tc>
        <w:tc>
          <w:tcPr>
            <w:tcW w:w="1585" w:type="dxa"/>
            <w:tcBorders>
              <w:tl2br w:val="nil"/>
              <w:tr2bl w:val="nil"/>
            </w:tcBorders>
            <w:vAlign w:val="center"/>
          </w:tcPr>
          <w:p w14:paraId="7EF00B38">
            <w:pPr>
              <w:widowControl/>
              <w:tabs>
                <w:tab w:val="left" w:pos="900"/>
              </w:tabs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理论教学、</w:t>
            </w:r>
          </w:p>
          <w:p w14:paraId="5ACB5DD5">
            <w:pPr>
              <w:widowControl/>
              <w:tabs>
                <w:tab w:val="left" w:pos="900"/>
              </w:tabs>
              <w:adjustRightInd w:val="0"/>
              <w:snapToGrid w:val="0"/>
              <w:spacing w:line="240" w:lineRule="exact"/>
              <w:ind w:left="-89" w:leftChars="-118" w:hanging="289" w:hangingChars="138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实践教学</w:t>
            </w: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6403DAD3">
            <w:pPr>
              <w:adjustRightInd w:val="0"/>
              <w:snapToGrid w:val="0"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工作量得分=完成应承担额定工作量的100%得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100</w:t>
            </w:r>
            <w:r>
              <w:rPr>
                <w:color w:val="000000"/>
                <w:kern w:val="0"/>
                <w:sz w:val="21"/>
                <w:szCs w:val="21"/>
              </w:rPr>
              <w:t>分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。每减少1</w:t>
            </w:r>
            <w:r>
              <w:rPr>
                <w:color w:val="000000"/>
                <w:kern w:val="0"/>
                <w:sz w:val="21"/>
                <w:szCs w:val="21"/>
              </w:rPr>
              <w:t>%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，减1分。</w:t>
            </w:r>
          </w:p>
        </w:tc>
        <w:tc>
          <w:tcPr>
            <w:tcW w:w="5935" w:type="dxa"/>
            <w:tcBorders>
              <w:tl2br w:val="nil"/>
              <w:tr2bl w:val="nil"/>
            </w:tcBorders>
            <w:vAlign w:val="center"/>
          </w:tcPr>
          <w:p w14:paraId="1FBD0058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超工作量不增加得分</w:t>
            </w:r>
          </w:p>
        </w:tc>
      </w:tr>
      <w:tr w14:paraId="60265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737" w:hRule="atLeast"/>
          <w:tblCellSpacing w:w="0" w:type="dxa"/>
        </w:trPr>
        <w:tc>
          <w:tcPr>
            <w:tcW w:w="1542" w:type="dxa"/>
            <w:tcBorders>
              <w:tl2br w:val="nil"/>
              <w:tr2bl w:val="nil"/>
            </w:tcBorders>
            <w:vAlign w:val="center"/>
          </w:tcPr>
          <w:p w14:paraId="4EAF1FF3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课堂教学质量</w:t>
            </w:r>
          </w:p>
          <w:p w14:paraId="0F62CB52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S2</w:t>
            </w:r>
          </w:p>
        </w:tc>
        <w:tc>
          <w:tcPr>
            <w:tcW w:w="1122" w:type="dxa"/>
            <w:tcBorders>
              <w:tl2br w:val="nil"/>
              <w:tr2bl w:val="nil"/>
            </w:tcBorders>
            <w:vAlign w:val="center"/>
          </w:tcPr>
          <w:p w14:paraId="142C0336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课堂教学质量</w:t>
            </w:r>
          </w:p>
        </w:tc>
        <w:tc>
          <w:tcPr>
            <w:tcW w:w="1585" w:type="dxa"/>
            <w:tcBorders>
              <w:tl2br w:val="nil"/>
              <w:tr2bl w:val="nil"/>
            </w:tcBorders>
            <w:vAlign w:val="center"/>
          </w:tcPr>
          <w:p w14:paraId="455FDEE6">
            <w:pPr>
              <w:widowControl/>
              <w:tabs>
                <w:tab w:val="left" w:pos="900"/>
              </w:tabs>
              <w:adjustRightInd w:val="0"/>
              <w:snapToGrid w:val="0"/>
              <w:spacing w:line="24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学院评价</w:t>
            </w:r>
            <w:r>
              <w:rPr>
                <w:color w:val="000000"/>
                <w:kern w:val="0"/>
                <w:sz w:val="21"/>
                <w:szCs w:val="21"/>
              </w:rPr>
              <w:t>、学生评价</w:t>
            </w: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0E0EC286">
            <w:pPr>
              <w:adjustRightInd w:val="0"/>
              <w:snapToGrid w:val="0"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1.学院评价得分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占比80%。</w:t>
            </w:r>
          </w:p>
          <w:p w14:paraId="12804431">
            <w:pPr>
              <w:adjustRightInd w:val="0"/>
              <w:snapToGrid w:val="0"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学生</w:t>
            </w:r>
            <w:r>
              <w:rPr>
                <w:rFonts w:hint="eastAsia"/>
                <w:color w:val="000000"/>
                <w:kern w:val="0"/>
                <w:sz w:val="21"/>
                <w:szCs w:val="21"/>
                <w:lang w:val="en-US" w:eastAsia="zh-CN"/>
              </w:rPr>
              <w:t>评价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占比20%。</w:t>
            </w:r>
          </w:p>
        </w:tc>
        <w:tc>
          <w:tcPr>
            <w:tcW w:w="5935" w:type="dxa"/>
            <w:tcBorders>
              <w:tl2br w:val="nil"/>
              <w:tr2bl w:val="nil"/>
            </w:tcBorders>
            <w:vAlign w:val="center"/>
          </w:tcPr>
          <w:p w14:paraId="06D3B581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百分制计分</w:t>
            </w:r>
          </w:p>
        </w:tc>
      </w:tr>
      <w:tr w14:paraId="78AD5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624" w:hRule="atLeast"/>
          <w:tblCellSpacing w:w="0" w:type="dxa"/>
        </w:trPr>
        <w:tc>
          <w:tcPr>
            <w:tcW w:w="1542" w:type="dxa"/>
            <w:vMerge w:val="restart"/>
            <w:tcBorders>
              <w:tl2br w:val="nil"/>
              <w:tr2bl w:val="nil"/>
            </w:tcBorders>
            <w:vAlign w:val="center"/>
          </w:tcPr>
          <w:p w14:paraId="6E644E04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教学成果</w:t>
            </w:r>
          </w:p>
          <w:p w14:paraId="5586680D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S3</w:t>
            </w:r>
          </w:p>
        </w:tc>
        <w:tc>
          <w:tcPr>
            <w:tcW w:w="1122" w:type="dxa"/>
            <w:vMerge w:val="restart"/>
            <w:tcBorders>
              <w:tl2br w:val="nil"/>
              <w:tr2bl w:val="nil"/>
            </w:tcBorders>
            <w:vAlign w:val="center"/>
          </w:tcPr>
          <w:p w14:paraId="3D1CD96A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指导学生实践或获奖</w:t>
            </w:r>
          </w:p>
        </w:tc>
        <w:tc>
          <w:tcPr>
            <w:tcW w:w="1585" w:type="dxa"/>
            <w:tcBorders>
              <w:tl2br w:val="nil"/>
              <w:tr2bl w:val="nil"/>
            </w:tcBorders>
            <w:vAlign w:val="center"/>
          </w:tcPr>
          <w:p w14:paraId="6CC32A40">
            <w:pPr>
              <w:widowControl/>
              <w:tabs>
                <w:tab w:val="left" w:pos="900"/>
              </w:tabs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指导学科竞赛</w:t>
            </w: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6C9497EB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A类</w:t>
            </w:r>
            <w:r>
              <w:rPr>
                <w:color w:val="000000"/>
                <w:kern w:val="0"/>
                <w:sz w:val="21"/>
                <w:szCs w:val="21"/>
              </w:rPr>
              <w:t>：特等、一、二、三等奖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，</w:t>
            </w:r>
            <w:r>
              <w:rPr>
                <w:color w:val="000000"/>
                <w:kern w:val="0"/>
                <w:sz w:val="21"/>
                <w:szCs w:val="21"/>
              </w:rPr>
              <w:t>分别为55、50、40、30分/项。</w:t>
            </w:r>
          </w:p>
          <w:p w14:paraId="219ED017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B类</w:t>
            </w:r>
            <w:r>
              <w:rPr>
                <w:color w:val="000000"/>
                <w:kern w:val="0"/>
                <w:sz w:val="21"/>
                <w:szCs w:val="21"/>
              </w:rPr>
              <w:t>：特等、一、二、三等奖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，</w:t>
            </w:r>
            <w:r>
              <w:rPr>
                <w:color w:val="000000"/>
                <w:kern w:val="0"/>
                <w:sz w:val="21"/>
                <w:szCs w:val="21"/>
              </w:rPr>
              <w:t>分别为35、30、20、10分/项。</w:t>
            </w:r>
          </w:p>
          <w:p w14:paraId="3BEC39B4">
            <w:pPr>
              <w:widowControl/>
              <w:spacing w:line="240" w:lineRule="exact"/>
              <w:jc w:val="left"/>
              <w:rPr>
                <w:rFonts w:hint="default" w:eastAsia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3.C类：</w:t>
            </w:r>
            <w:r>
              <w:rPr>
                <w:color w:val="000000"/>
                <w:kern w:val="0"/>
                <w:sz w:val="21"/>
                <w:szCs w:val="21"/>
              </w:rPr>
              <w:t>特等、一、二、三等奖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，</w:t>
            </w:r>
            <w:r>
              <w:rPr>
                <w:color w:val="000000"/>
                <w:kern w:val="0"/>
                <w:sz w:val="21"/>
                <w:szCs w:val="21"/>
              </w:rPr>
              <w:t>分别为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15</w:t>
            </w:r>
            <w:r>
              <w:rPr>
                <w:color w:val="000000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10</w:t>
            </w:r>
            <w:r>
              <w:rPr>
                <w:color w:val="000000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5</w:t>
            </w:r>
            <w:r>
              <w:rPr>
                <w:color w:val="000000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3</w:t>
            </w:r>
            <w:r>
              <w:rPr>
                <w:color w:val="000000"/>
                <w:kern w:val="0"/>
                <w:sz w:val="21"/>
                <w:szCs w:val="21"/>
              </w:rPr>
              <w:t>分/项。</w:t>
            </w:r>
          </w:p>
        </w:tc>
        <w:tc>
          <w:tcPr>
            <w:tcW w:w="5935" w:type="dxa"/>
            <w:tcBorders>
              <w:tl2br w:val="nil"/>
              <w:tr2bl w:val="nil"/>
            </w:tcBorders>
            <w:vAlign w:val="center"/>
          </w:tcPr>
          <w:p w14:paraId="23F3B09F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只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计算</w:t>
            </w:r>
            <w:r>
              <w:rPr>
                <w:color w:val="000000"/>
                <w:kern w:val="0"/>
                <w:sz w:val="21"/>
                <w:szCs w:val="21"/>
              </w:rPr>
              <w:t>经过教务处和研究生处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公布的榜单内赛事</w:t>
            </w:r>
            <w:r>
              <w:rPr>
                <w:color w:val="000000"/>
                <w:kern w:val="0"/>
                <w:sz w:val="21"/>
                <w:szCs w:val="21"/>
              </w:rPr>
              <w:t>。原则上要求指导教师名单应在奖励文件中列出。按奖项统计，同一项目获多级奖项，按照分数就高不就低原则只计1次分。同一教师指导学生获不同奖项的分别计分。指导老师一般不超过2人，超过2人时教师指导平均分配得分。需上传获奖证书或表彰文件照片。</w:t>
            </w:r>
          </w:p>
          <w:p w14:paraId="71B175A8">
            <w:pPr>
              <w:widowControl/>
              <w:spacing w:line="240" w:lineRule="exact"/>
              <w:jc w:val="left"/>
              <w:rPr>
                <w:rFonts w:hint="default" w:eastAsia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  <w:lang w:val="en-US" w:eastAsia="zh-CN"/>
              </w:rPr>
              <w:t>国家级竞赛，且设置有省级复赛，复赛减半计分。</w:t>
            </w:r>
          </w:p>
        </w:tc>
      </w:tr>
      <w:tr w14:paraId="4B3CA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737" w:hRule="atLeast"/>
          <w:tblCellSpacing w:w="0" w:type="dxa"/>
        </w:trPr>
        <w:tc>
          <w:tcPr>
            <w:tcW w:w="1542" w:type="dxa"/>
            <w:vMerge w:val="continue"/>
            <w:tcBorders>
              <w:tl2br w:val="nil"/>
              <w:tr2bl w:val="nil"/>
            </w:tcBorders>
          </w:tcPr>
          <w:p w14:paraId="644B193F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2" w:type="dxa"/>
            <w:vMerge w:val="continue"/>
            <w:tcBorders>
              <w:tl2br w:val="nil"/>
              <w:tr2bl w:val="nil"/>
            </w:tcBorders>
            <w:vAlign w:val="center"/>
          </w:tcPr>
          <w:p w14:paraId="025E6A1D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85" w:type="dxa"/>
            <w:vMerge w:val="restart"/>
            <w:tcBorders>
              <w:tl2br w:val="nil"/>
              <w:tr2bl w:val="nil"/>
            </w:tcBorders>
            <w:vAlign w:val="center"/>
          </w:tcPr>
          <w:p w14:paraId="4F1EA5AC">
            <w:pPr>
              <w:widowControl/>
              <w:tabs>
                <w:tab w:val="left" w:pos="900"/>
              </w:tabs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指导学生科研</w:t>
            </w: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4031B0FB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1.学生以第一作者在核心期刊发表学术论文20分/篇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，</w:t>
            </w:r>
            <w:r>
              <w:rPr>
                <w:color w:val="000000"/>
                <w:kern w:val="0"/>
                <w:sz w:val="21"/>
                <w:szCs w:val="21"/>
              </w:rPr>
              <w:t>在非核心期刊发表学术论文5分/篇。</w:t>
            </w:r>
          </w:p>
        </w:tc>
        <w:tc>
          <w:tcPr>
            <w:tcW w:w="5935" w:type="dxa"/>
            <w:vMerge w:val="restart"/>
            <w:tcBorders>
              <w:tl2br w:val="nil"/>
              <w:tr2bl w:val="nil"/>
            </w:tcBorders>
            <w:vAlign w:val="center"/>
          </w:tcPr>
          <w:p w14:paraId="36CF23BA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指导教师名单需在文章或奖励文件、专利授权文书中列出。需上传获奖证书、表彰文件或论文发表杂志封面、目录及文章照片。</w:t>
            </w:r>
          </w:p>
        </w:tc>
      </w:tr>
      <w:tr w14:paraId="795F8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624" w:hRule="atLeast"/>
          <w:tblCellSpacing w:w="0" w:type="dxa"/>
        </w:trPr>
        <w:tc>
          <w:tcPr>
            <w:tcW w:w="1542" w:type="dxa"/>
            <w:vMerge w:val="continue"/>
            <w:tcBorders>
              <w:tl2br w:val="nil"/>
              <w:tr2bl w:val="nil"/>
            </w:tcBorders>
          </w:tcPr>
          <w:p w14:paraId="3D995D79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2" w:type="dxa"/>
            <w:vMerge w:val="continue"/>
            <w:tcBorders>
              <w:tl2br w:val="nil"/>
              <w:tr2bl w:val="nil"/>
            </w:tcBorders>
            <w:vAlign w:val="center"/>
          </w:tcPr>
          <w:p w14:paraId="2E2FB82D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85" w:type="dxa"/>
            <w:vMerge w:val="continue"/>
            <w:tcBorders>
              <w:tl2br w:val="nil"/>
              <w:tr2bl w:val="nil"/>
            </w:tcBorders>
            <w:vAlign w:val="center"/>
          </w:tcPr>
          <w:p w14:paraId="0A00282A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3A68A4EB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2.学生以第一作者获得专利，国家发明专利30分、实用新型专利15分、外观设计专利5分。</w:t>
            </w:r>
          </w:p>
        </w:tc>
        <w:tc>
          <w:tcPr>
            <w:tcW w:w="5935" w:type="dxa"/>
            <w:vMerge w:val="continue"/>
            <w:tcBorders>
              <w:tl2br w:val="nil"/>
              <w:tr2bl w:val="nil"/>
            </w:tcBorders>
            <w:vAlign w:val="center"/>
          </w:tcPr>
          <w:p w14:paraId="4AD12C6D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</w:p>
        </w:tc>
      </w:tr>
      <w:tr w14:paraId="54112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542" w:type="dxa"/>
            <w:vMerge w:val="continue"/>
            <w:tcBorders>
              <w:tl2br w:val="nil"/>
              <w:tr2bl w:val="nil"/>
            </w:tcBorders>
          </w:tcPr>
          <w:p w14:paraId="69F55367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2" w:type="dxa"/>
            <w:vMerge w:val="continue"/>
            <w:tcBorders>
              <w:tl2br w:val="nil"/>
              <w:tr2bl w:val="nil"/>
            </w:tcBorders>
            <w:vAlign w:val="center"/>
          </w:tcPr>
          <w:p w14:paraId="41F1931C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85" w:type="dxa"/>
            <w:vMerge w:val="continue"/>
            <w:tcBorders>
              <w:tl2br w:val="nil"/>
              <w:tr2bl w:val="nil"/>
            </w:tcBorders>
            <w:vAlign w:val="center"/>
          </w:tcPr>
          <w:p w14:paraId="1D086EB0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4BEBAD4D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3.学生获得省级大学生科研成果一、二、三等奖，分别为40、30、20分/项。</w:t>
            </w:r>
          </w:p>
        </w:tc>
        <w:tc>
          <w:tcPr>
            <w:tcW w:w="5935" w:type="dxa"/>
            <w:vMerge w:val="continue"/>
            <w:tcBorders>
              <w:tl2br w:val="nil"/>
              <w:tr2bl w:val="nil"/>
            </w:tcBorders>
            <w:vAlign w:val="center"/>
          </w:tcPr>
          <w:p w14:paraId="592BA0D9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</w:p>
        </w:tc>
      </w:tr>
      <w:tr w14:paraId="31DA9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454" w:hRule="atLeast"/>
          <w:tblCellSpacing w:w="0" w:type="dxa"/>
        </w:trPr>
        <w:tc>
          <w:tcPr>
            <w:tcW w:w="1542" w:type="dxa"/>
            <w:vMerge w:val="continue"/>
            <w:tcBorders>
              <w:tl2br w:val="nil"/>
              <w:tr2bl w:val="nil"/>
            </w:tcBorders>
          </w:tcPr>
          <w:p w14:paraId="4359D2A6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2" w:type="dxa"/>
            <w:vMerge w:val="continue"/>
            <w:tcBorders>
              <w:tl2br w:val="nil"/>
              <w:tr2bl w:val="nil"/>
            </w:tcBorders>
            <w:vAlign w:val="center"/>
          </w:tcPr>
          <w:p w14:paraId="5BE833A8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85" w:type="dxa"/>
            <w:tcBorders>
              <w:tl2br w:val="nil"/>
              <w:tr2bl w:val="nil"/>
            </w:tcBorders>
            <w:vAlign w:val="center"/>
          </w:tcPr>
          <w:p w14:paraId="047AE95E">
            <w:pPr>
              <w:widowControl/>
              <w:tabs>
                <w:tab w:val="left" w:pos="900"/>
              </w:tabs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指导学生实践</w:t>
            </w: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78619369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1.获省优秀学士、硕士学位论文20分/篇。</w:t>
            </w:r>
          </w:p>
        </w:tc>
        <w:tc>
          <w:tcPr>
            <w:tcW w:w="5935" w:type="dxa"/>
            <w:tcBorders>
              <w:tl2br w:val="nil"/>
              <w:tr2bl w:val="nil"/>
            </w:tcBorders>
            <w:vAlign w:val="center"/>
          </w:tcPr>
          <w:p w14:paraId="254394C7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指导教师名单需在文章或奖励文件中列出。需上传获奖证书或表彰文件照片</w:t>
            </w:r>
          </w:p>
        </w:tc>
      </w:tr>
      <w:tr w14:paraId="5C12D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1757" w:hRule="atLeast"/>
          <w:tblCellSpacing w:w="0" w:type="dxa"/>
        </w:trPr>
        <w:tc>
          <w:tcPr>
            <w:tcW w:w="1542" w:type="dxa"/>
            <w:vMerge w:val="restart"/>
            <w:tcBorders>
              <w:tl2br w:val="nil"/>
              <w:tr2bl w:val="nil"/>
            </w:tcBorders>
            <w:vAlign w:val="center"/>
          </w:tcPr>
          <w:p w14:paraId="1843D53D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教学成果</w:t>
            </w:r>
          </w:p>
          <w:p w14:paraId="7993AEC8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S3</w:t>
            </w:r>
          </w:p>
        </w:tc>
        <w:tc>
          <w:tcPr>
            <w:tcW w:w="1122" w:type="dxa"/>
            <w:vMerge w:val="restart"/>
            <w:tcBorders>
              <w:tl2br w:val="nil"/>
              <w:tr2bl w:val="nil"/>
            </w:tcBorders>
            <w:vAlign w:val="center"/>
          </w:tcPr>
          <w:p w14:paraId="6D2E31D4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教学研究与改革项目</w:t>
            </w:r>
          </w:p>
        </w:tc>
        <w:tc>
          <w:tcPr>
            <w:tcW w:w="1585" w:type="dxa"/>
            <w:tcBorders>
              <w:tl2br w:val="nil"/>
              <w:tr2bl w:val="nil"/>
            </w:tcBorders>
            <w:vAlign w:val="center"/>
          </w:tcPr>
          <w:p w14:paraId="2A114E15">
            <w:pPr>
              <w:widowControl/>
              <w:tabs>
                <w:tab w:val="left" w:pos="900"/>
              </w:tabs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教研与教改项目</w:t>
            </w: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318D20AF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立项获批当年：</w:t>
            </w:r>
          </w:p>
          <w:p w14:paraId="4F2C365F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1.国家级50分/项。</w:t>
            </w:r>
          </w:p>
          <w:p w14:paraId="02E3C88D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2.全国性（教育部司局或全国教指委）40分/项。</w:t>
            </w:r>
          </w:p>
          <w:p w14:paraId="38CB2102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3.省级30分/项。</w:t>
            </w:r>
          </w:p>
          <w:p w14:paraId="081B1B57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4.市级重点20分/项，一般项目10分/项。</w:t>
            </w:r>
          </w:p>
          <w:p w14:paraId="5938C372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5.校级重点10分/项，一般项目5分/项。</w:t>
            </w:r>
          </w:p>
          <w:p w14:paraId="5BE9B5B4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结项按获批赋值的60%计分。</w:t>
            </w:r>
          </w:p>
        </w:tc>
        <w:tc>
          <w:tcPr>
            <w:tcW w:w="5935" w:type="dxa"/>
            <w:tcBorders>
              <w:tl2br w:val="nil"/>
              <w:tr2bl w:val="nil"/>
            </w:tcBorders>
            <w:vAlign w:val="center"/>
          </w:tcPr>
          <w:p w14:paraId="4AFEDEEC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需上传项目批准文件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或结项</w:t>
            </w:r>
            <w:r>
              <w:rPr>
                <w:color w:val="000000"/>
                <w:kern w:val="0"/>
                <w:sz w:val="21"/>
                <w:szCs w:val="21"/>
              </w:rPr>
              <w:t>照片。 根据项目批准文件最多5人，超过的人数不计。根据参与人员排序分配分数： 5人按33%、27%、20%、13%、7% 分配， 4人按40%、30%、20%、10% 分配， 3人按50%、33%、17% 分配， 2人按67%、33% 分配。</w:t>
            </w:r>
          </w:p>
        </w:tc>
      </w:tr>
      <w:tr w14:paraId="49FB4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2438" w:hRule="atLeast"/>
          <w:tblCellSpacing w:w="0" w:type="dxa"/>
        </w:trPr>
        <w:tc>
          <w:tcPr>
            <w:tcW w:w="1542" w:type="dxa"/>
            <w:vMerge w:val="continue"/>
            <w:tcBorders>
              <w:tl2br w:val="nil"/>
              <w:tr2bl w:val="nil"/>
            </w:tcBorders>
          </w:tcPr>
          <w:p w14:paraId="443339E0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2" w:type="dxa"/>
            <w:vMerge w:val="continue"/>
            <w:tcBorders>
              <w:tl2br w:val="nil"/>
              <w:tr2bl w:val="nil"/>
            </w:tcBorders>
            <w:vAlign w:val="center"/>
          </w:tcPr>
          <w:p w14:paraId="06AB2178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85" w:type="dxa"/>
            <w:tcBorders>
              <w:tl2br w:val="nil"/>
              <w:tr2bl w:val="nil"/>
            </w:tcBorders>
            <w:vAlign w:val="center"/>
          </w:tcPr>
          <w:p w14:paraId="0595E886">
            <w:pPr>
              <w:widowControl/>
              <w:tabs>
                <w:tab w:val="left" w:pos="900"/>
              </w:tabs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教学（教研）成果</w:t>
            </w: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089E93D4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获奖当年</w:t>
            </w:r>
            <w:r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>：</w:t>
            </w:r>
          </w:p>
          <w:p w14:paraId="67E26947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1.获国家级一、二、三等奖，分别计100、80、60分/项。</w:t>
            </w:r>
          </w:p>
          <w:p w14:paraId="33A64893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2.获省级一、二、三等奖，分别计60、50、40分/项。</w:t>
            </w:r>
          </w:p>
          <w:p w14:paraId="31818347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3.获市级一、二、三等奖，分别计40、30、20分/项。</w:t>
            </w:r>
          </w:p>
          <w:p w14:paraId="3765CA23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4.获校级特、一、二、三等奖，分别计30、20、15、10分/项。</w:t>
            </w:r>
          </w:p>
        </w:tc>
        <w:tc>
          <w:tcPr>
            <w:tcW w:w="5935" w:type="dxa"/>
            <w:tcBorders>
              <w:tl2br w:val="nil"/>
              <w:tr2bl w:val="nil"/>
            </w:tcBorders>
            <w:vAlign w:val="center"/>
          </w:tcPr>
          <w:p w14:paraId="728629BC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同一项目获多级奖项，按照分数就高不就低原则只计一次分。 需上传获奖证书或奖励文件。 根据项目批准文件最多8人，超过的人数不计。 根据参与人员排序分配分数： 8人按22%、19%、17%、14%、11%、8%、6%、3% 分配， 7人按25%、21%、18%、14%、11%、7%、4% 分配， 6人按28%、24%、19%、14%、10%、5% 分配， 5人按33%、27%、20%、13%、7% 分配， 4人按40%、30%、20%、10% 分配， 3人按50%、33%、17% 分配， 2人按67%、33% 分配。</w:t>
            </w:r>
          </w:p>
        </w:tc>
      </w:tr>
      <w:tr w14:paraId="2919D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1757" w:hRule="atLeast"/>
          <w:tblCellSpacing w:w="0" w:type="dxa"/>
        </w:trPr>
        <w:tc>
          <w:tcPr>
            <w:tcW w:w="1542" w:type="dxa"/>
            <w:vMerge w:val="continue"/>
            <w:tcBorders>
              <w:tl2br w:val="nil"/>
              <w:tr2bl w:val="nil"/>
            </w:tcBorders>
          </w:tcPr>
          <w:p w14:paraId="707DA21B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2" w:type="dxa"/>
            <w:vMerge w:val="restart"/>
            <w:tcBorders>
              <w:tl2br w:val="nil"/>
              <w:tr2bl w:val="nil"/>
            </w:tcBorders>
            <w:vAlign w:val="center"/>
          </w:tcPr>
          <w:p w14:paraId="744A26FA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教学建设</w:t>
            </w:r>
          </w:p>
        </w:tc>
        <w:tc>
          <w:tcPr>
            <w:tcW w:w="1585" w:type="dxa"/>
            <w:vMerge w:val="restart"/>
            <w:tcBorders>
              <w:tl2br w:val="nil"/>
              <w:tr2bl w:val="nil"/>
            </w:tcBorders>
            <w:vAlign w:val="center"/>
          </w:tcPr>
          <w:p w14:paraId="3DD0152B">
            <w:pPr>
              <w:widowControl/>
              <w:tabs>
                <w:tab w:val="left" w:pos="900"/>
              </w:tabs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质量工程项目</w:t>
            </w: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6DC73966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批准当年：</w:t>
            </w:r>
          </w:p>
          <w:p w14:paraId="3750EDF2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1.国家级项目50分/年。</w:t>
            </w:r>
          </w:p>
          <w:p w14:paraId="0347A85E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2.省级项目30分/年。</w:t>
            </w:r>
          </w:p>
          <w:p w14:paraId="7BFB2FE7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3.市级项目20分/年。</w:t>
            </w:r>
          </w:p>
          <w:p w14:paraId="4A518AED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4.校级项目10分/年。</w:t>
            </w:r>
          </w:p>
        </w:tc>
        <w:tc>
          <w:tcPr>
            <w:tcW w:w="5935" w:type="dxa"/>
            <w:vMerge w:val="restart"/>
            <w:tcBorders>
              <w:tl2br w:val="nil"/>
              <w:tr2bl w:val="nil"/>
            </w:tcBorders>
            <w:vAlign w:val="center"/>
          </w:tcPr>
          <w:p w14:paraId="6492BE41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包括专业建设项目（品牌专业、特色专业、专业综合改革、产业计划等）、教学基地建设项目（实验示范中心、虚拟仿真实验中心、教学实践示范基地、创新实践基地等）、教学团队建设项目、课程建设项目（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一流课程、智慧课程、</w:t>
            </w:r>
            <w:r>
              <w:rPr>
                <w:color w:val="000000"/>
                <w:kern w:val="0"/>
                <w:sz w:val="21"/>
                <w:szCs w:val="21"/>
              </w:rPr>
              <w:t>精品课程、精品视频公开课、资源共享课、在线课程、精彩一课等）。上传批准文件或建设工作总结。根据项目批准文件最多10人，超过的人数不计。根据参与人员排序分配分数： 10人按18%、16%、14%、13%、12%、9%、7%、5%、4%、2%分配， 9人按20%、18%、16%、13%、11%、9%、7%、4%、2%分配， 8人按22%、19%、17%、14%、11%、8%、6%、3%分配， 7人按25%、21%、18%、14%、11%、7%、4%分配，6人按28%、24%、19%、14%、10%、5%分配， 5人按33%、27%、20%、13%、7%分配，4人按40%、30%、20%、10%分配， 3人按50%、33%、17%分配，2人按67%、33%分配。 批准当年按照上述规则积分，建设期内按照上述积分规则20%计算积分。</w:t>
            </w:r>
          </w:p>
        </w:tc>
      </w:tr>
      <w:tr w14:paraId="07D61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737" w:hRule="atLeast"/>
          <w:tblCellSpacing w:w="0" w:type="dxa"/>
        </w:trPr>
        <w:tc>
          <w:tcPr>
            <w:tcW w:w="1542" w:type="dxa"/>
            <w:vMerge w:val="continue"/>
            <w:tcBorders>
              <w:tl2br w:val="nil"/>
              <w:tr2bl w:val="nil"/>
            </w:tcBorders>
          </w:tcPr>
          <w:p w14:paraId="51CA4341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2" w:type="dxa"/>
            <w:vMerge w:val="continue"/>
            <w:tcBorders>
              <w:tl2br w:val="nil"/>
              <w:tr2bl w:val="nil"/>
            </w:tcBorders>
            <w:vAlign w:val="center"/>
          </w:tcPr>
          <w:p w14:paraId="24B203BF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85" w:type="dxa"/>
            <w:vMerge w:val="continue"/>
            <w:tcBorders>
              <w:tl2br w:val="nil"/>
              <w:tr2bl w:val="nil"/>
            </w:tcBorders>
            <w:vAlign w:val="center"/>
          </w:tcPr>
          <w:p w14:paraId="721874ED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7E71797D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建设期间：</w:t>
            </w:r>
          </w:p>
          <w:p w14:paraId="795A977C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按批准当年所得分数的20%计算。</w:t>
            </w:r>
          </w:p>
        </w:tc>
        <w:tc>
          <w:tcPr>
            <w:tcW w:w="5935" w:type="dxa"/>
            <w:vMerge w:val="continue"/>
            <w:tcBorders>
              <w:tl2br w:val="nil"/>
              <w:tr2bl w:val="nil"/>
            </w:tcBorders>
            <w:vAlign w:val="center"/>
          </w:tcPr>
          <w:p w14:paraId="4E78D4ED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</w:p>
        </w:tc>
      </w:tr>
      <w:tr w14:paraId="1DE82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1361" w:hRule="atLeast"/>
          <w:tblCellSpacing w:w="0" w:type="dxa"/>
        </w:trPr>
        <w:tc>
          <w:tcPr>
            <w:tcW w:w="1542" w:type="dxa"/>
            <w:vMerge w:val="restart"/>
            <w:tcBorders>
              <w:tl2br w:val="nil"/>
              <w:tr2bl w:val="nil"/>
            </w:tcBorders>
            <w:vAlign w:val="center"/>
          </w:tcPr>
          <w:p w14:paraId="512F7100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教学成果</w:t>
            </w:r>
          </w:p>
          <w:p w14:paraId="28535C63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S3</w:t>
            </w:r>
          </w:p>
        </w:tc>
        <w:tc>
          <w:tcPr>
            <w:tcW w:w="1122" w:type="dxa"/>
            <w:vMerge w:val="continue"/>
            <w:tcBorders>
              <w:tl2br w:val="nil"/>
              <w:tr2bl w:val="nil"/>
            </w:tcBorders>
            <w:vAlign w:val="center"/>
          </w:tcPr>
          <w:p w14:paraId="32DFBFCE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85" w:type="dxa"/>
            <w:tcBorders>
              <w:tl2br w:val="nil"/>
              <w:tr2bl w:val="nil"/>
            </w:tcBorders>
            <w:vAlign w:val="center"/>
          </w:tcPr>
          <w:p w14:paraId="4135D00E">
            <w:pPr>
              <w:widowControl/>
              <w:tabs>
                <w:tab w:val="left" w:pos="900"/>
              </w:tabs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教材建设</w:t>
            </w: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610256CB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出版当年</w:t>
            </w:r>
            <w:r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>：</w:t>
            </w:r>
          </w:p>
          <w:p w14:paraId="1CE902BC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1.国家规划教材主编50分/本，副主编30分/本；</w:t>
            </w:r>
          </w:p>
          <w:p w14:paraId="7C71CCED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2.普通教材主编30分/本，副主编15分/本；</w:t>
            </w:r>
          </w:p>
          <w:p w14:paraId="683FEA28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3.译著25分/本；</w:t>
            </w:r>
          </w:p>
          <w:p w14:paraId="67D9F25A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4.参编10分/本。</w:t>
            </w:r>
          </w:p>
        </w:tc>
        <w:tc>
          <w:tcPr>
            <w:tcW w:w="5935" w:type="dxa"/>
            <w:tcBorders>
              <w:tl2br w:val="nil"/>
              <w:tr2bl w:val="nil"/>
            </w:tcBorders>
            <w:vAlign w:val="center"/>
          </w:tcPr>
          <w:p w14:paraId="07D46965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需上传教材封面、目录及封底照片。</w:t>
            </w:r>
          </w:p>
        </w:tc>
      </w:tr>
      <w:tr w14:paraId="043D3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0" w:type="dxa"/>
            <w:bottom w:w="57" w:type="dxa"/>
            <w:right w:w="0" w:type="dxa"/>
          </w:tblCellMar>
        </w:tblPrEx>
        <w:trPr>
          <w:trHeight w:val="2154" w:hRule="atLeast"/>
          <w:tblCellSpacing w:w="0" w:type="dxa"/>
        </w:trPr>
        <w:tc>
          <w:tcPr>
            <w:tcW w:w="1542" w:type="dxa"/>
            <w:vMerge w:val="continue"/>
            <w:tcBorders>
              <w:tl2br w:val="nil"/>
              <w:tr2bl w:val="nil"/>
            </w:tcBorders>
          </w:tcPr>
          <w:p w14:paraId="03993DF2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2" w:type="dxa"/>
            <w:tcBorders>
              <w:tl2br w:val="nil"/>
              <w:tr2bl w:val="nil"/>
            </w:tcBorders>
            <w:vAlign w:val="center"/>
          </w:tcPr>
          <w:p w14:paraId="018D47B4">
            <w:pPr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教学研究论文或论著</w:t>
            </w:r>
          </w:p>
        </w:tc>
        <w:tc>
          <w:tcPr>
            <w:tcW w:w="1585" w:type="dxa"/>
            <w:tcBorders>
              <w:tl2br w:val="nil"/>
              <w:tr2bl w:val="nil"/>
            </w:tcBorders>
            <w:vAlign w:val="center"/>
          </w:tcPr>
          <w:p w14:paraId="158E2F0F">
            <w:pPr>
              <w:widowControl/>
              <w:tabs>
                <w:tab w:val="left" w:pos="900"/>
              </w:tabs>
              <w:adjustRightInd w:val="0"/>
              <w:snapToGrid w:val="0"/>
              <w:spacing w:line="240" w:lineRule="exact"/>
              <w:jc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教学研究论文或论著</w:t>
            </w:r>
          </w:p>
        </w:tc>
        <w:tc>
          <w:tcPr>
            <w:tcW w:w="4393" w:type="dxa"/>
            <w:tcBorders>
              <w:tl2br w:val="nil"/>
              <w:tr2bl w:val="nil"/>
            </w:tcBorders>
            <w:vAlign w:val="center"/>
          </w:tcPr>
          <w:p w14:paraId="3E583427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论文/著作出版当年</w:t>
            </w:r>
            <w:r>
              <w:rPr>
                <w:rFonts w:hint="eastAsia"/>
                <w:color w:val="000000"/>
                <w:kern w:val="0"/>
                <w:sz w:val="21"/>
                <w:szCs w:val="21"/>
                <w:lang w:eastAsia="zh-CN"/>
              </w:rPr>
              <w:t>：</w:t>
            </w:r>
          </w:p>
          <w:p w14:paraId="57BD43F8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1.第一作者核心期刊20分/篇，合作者8分/篇；</w:t>
            </w:r>
          </w:p>
          <w:p w14:paraId="6B2E568B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2.第一作者国内期刊15分/篇，合作者5分/篇；</w:t>
            </w:r>
          </w:p>
          <w:p w14:paraId="2AC21789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3.正式出版的会议论文集10分/篇，合作者5分/篇；</w:t>
            </w:r>
          </w:p>
          <w:p w14:paraId="1FAA8AB7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4.著作权威出版社50分/本，一般出版社30分/本；</w:t>
            </w:r>
          </w:p>
          <w:p w14:paraId="75F98621">
            <w:pPr>
              <w:widowControl/>
              <w:spacing w:line="240" w:lineRule="exact"/>
              <w:ind w:left="150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5.论文集权威出版社40分/本，一般出版社20分/本。</w:t>
            </w:r>
          </w:p>
        </w:tc>
        <w:tc>
          <w:tcPr>
            <w:tcW w:w="5935" w:type="dxa"/>
            <w:tcBorders>
              <w:tl2br w:val="nil"/>
              <w:tr2bl w:val="nil"/>
            </w:tcBorders>
            <w:vAlign w:val="center"/>
          </w:tcPr>
          <w:p w14:paraId="46FFB4A8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期刊和出版社级别认定原则上以校科研处公布的名录为准，知名教育类出版社经教学指导委员会认定后可等同于权威出版社。</w:t>
            </w:r>
          </w:p>
          <w:p w14:paraId="6AE423E6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</w:rPr>
              <w:t>需上传文发表期刊及著作、论文集封面、目录、文章及封底（版权页）照片。</w:t>
            </w:r>
          </w:p>
          <w:p w14:paraId="740B4219">
            <w:pPr>
              <w:widowControl/>
              <w:spacing w:line="240" w:lineRule="exact"/>
              <w:jc w:val="left"/>
              <w:rPr>
                <w:color w:val="000000"/>
                <w:kern w:val="0"/>
                <w:sz w:val="21"/>
                <w:szCs w:val="21"/>
              </w:rPr>
            </w:pPr>
          </w:p>
        </w:tc>
      </w:tr>
    </w:tbl>
    <w:p w14:paraId="019DEB95">
      <w:pPr>
        <w:pStyle w:val="5"/>
        <w:widowControl/>
        <w:spacing w:before="0" w:beforeAutospacing="0" w:after="0" w:afterAutospacing="0" w:line="375" w:lineRule="atLeast"/>
        <w:rPr>
          <w:rFonts w:ascii="Times New Roman" w:hAnsi="Times New Roman" w:eastAsia="楷体_GB2312"/>
          <w:color w:val="000000"/>
          <w:sz w:val="21"/>
          <w:szCs w:val="21"/>
        </w:rPr>
      </w:pPr>
      <w:r>
        <w:rPr>
          <w:rFonts w:hint="eastAsia" w:ascii="Times New Roman" w:hAnsi="Times New Roman" w:eastAsia="楷体_GB2312"/>
          <w:b/>
          <w:bCs/>
          <w:color w:val="000000"/>
          <w:sz w:val="21"/>
          <w:szCs w:val="21"/>
        </w:rPr>
        <w:t>备注</w:t>
      </w:r>
      <w:r>
        <w:rPr>
          <w:rFonts w:ascii="Times New Roman" w:hAnsi="Times New Roman" w:eastAsia="楷体_GB2312"/>
          <w:color w:val="000000"/>
          <w:sz w:val="21"/>
          <w:szCs w:val="21"/>
        </w:rPr>
        <w:t>：</w:t>
      </w:r>
    </w:p>
    <w:p w14:paraId="3646172C">
      <w:pPr>
        <w:pStyle w:val="5"/>
        <w:widowControl/>
        <w:spacing w:before="0" w:beforeAutospacing="0" w:after="0" w:afterAutospacing="0" w:line="375" w:lineRule="atLeast"/>
        <w:ind w:firstLine="420" w:firstLineChars="200"/>
        <w:jc w:val="both"/>
        <w:rPr>
          <w:rFonts w:ascii="Times New Roman" w:hAnsi="Times New Roman" w:eastAsia="楷体_GB2312"/>
          <w:color w:val="000000"/>
          <w:sz w:val="21"/>
          <w:szCs w:val="21"/>
        </w:rPr>
      </w:pPr>
      <w:r>
        <w:rPr>
          <w:rFonts w:hint="eastAsia" w:ascii="Times New Roman" w:hAnsi="Times New Roman" w:eastAsia="楷体_GB2312"/>
          <w:color w:val="000000"/>
          <w:sz w:val="21"/>
          <w:szCs w:val="21"/>
        </w:rPr>
        <w:t>1</w:t>
      </w:r>
      <w:r>
        <w:rPr>
          <w:rFonts w:ascii="Times New Roman" w:hAnsi="Times New Roman" w:eastAsia="楷体_GB2312"/>
          <w:color w:val="000000"/>
          <w:sz w:val="21"/>
          <w:szCs w:val="21"/>
        </w:rPr>
        <w:t>. 多人参与的项目，未注明参与项目计分标准的，由项目负责人或项目组决定各成员排序及得分。</w:t>
      </w:r>
    </w:p>
    <w:p w14:paraId="121D453B">
      <w:pPr>
        <w:pStyle w:val="5"/>
        <w:widowControl/>
        <w:spacing w:before="0" w:beforeAutospacing="0" w:after="0" w:afterAutospacing="0" w:line="375" w:lineRule="atLeast"/>
        <w:ind w:firstLine="420" w:firstLineChars="200"/>
        <w:jc w:val="both"/>
        <w:rPr>
          <w:rFonts w:ascii="Times New Roman" w:hAnsi="Times New Roman" w:eastAsia="楷体_GB2312"/>
          <w:color w:val="000000"/>
          <w:sz w:val="21"/>
          <w:szCs w:val="21"/>
        </w:rPr>
      </w:pPr>
      <w:r>
        <w:rPr>
          <w:rFonts w:hint="eastAsia" w:ascii="Times New Roman" w:hAnsi="Times New Roman" w:eastAsia="楷体_GB2312"/>
          <w:color w:val="000000"/>
          <w:sz w:val="21"/>
          <w:szCs w:val="21"/>
        </w:rPr>
        <w:t>2</w:t>
      </w:r>
      <w:r>
        <w:rPr>
          <w:rFonts w:ascii="Times New Roman" w:hAnsi="Times New Roman" w:eastAsia="楷体_GB2312"/>
          <w:color w:val="000000"/>
          <w:sz w:val="21"/>
          <w:szCs w:val="21"/>
        </w:rPr>
        <w:t>. 教材建设得分只计算正式出版物。</w:t>
      </w:r>
    </w:p>
    <w:p w14:paraId="31B6D57B">
      <w:pPr>
        <w:pStyle w:val="5"/>
        <w:widowControl/>
        <w:spacing w:before="0" w:beforeAutospacing="0" w:after="0" w:afterAutospacing="0" w:line="375" w:lineRule="atLeast"/>
        <w:ind w:firstLine="420" w:firstLineChars="200"/>
        <w:jc w:val="both"/>
        <w:rPr>
          <w:rFonts w:ascii="Times New Roman" w:hAnsi="Times New Roman" w:eastAsia="楷体_GB2312"/>
          <w:color w:val="000000"/>
          <w:sz w:val="21"/>
          <w:szCs w:val="21"/>
        </w:rPr>
      </w:pPr>
      <w:r>
        <w:rPr>
          <w:rFonts w:hint="eastAsia" w:ascii="Times New Roman" w:hAnsi="Times New Roman" w:eastAsia="楷体_GB2312"/>
          <w:color w:val="000000"/>
          <w:sz w:val="21"/>
          <w:szCs w:val="21"/>
        </w:rPr>
        <w:t>3</w:t>
      </w:r>
      <w:r>
        <w:rPr>
          <w:rFonts w:ascii="Times New Roman" w:hAnsi="Times New Roman" w:eastAsia="楷体_GB2312"/>
          <w:color w:val="000000"/>
          <w:sz w:val="21"/>
          <w:szCs w:val="21"/>
        </w:rPr>
        <w:t>. 期刊级别认定以学校公布的名录为准。</w:t>
      </w:r>
    </w:p>
    <w:p w14:paraId="1055FA66">
      <w:pPr>
        <w:pStyle w:val="5"/>
        <w:widowControl/>
        <w:spacing w:before="0" w:beforeAutospacing="0" w:after="0" w:afterAutospacing="0" w:line="375" w:lineRule="atLeast"/>
        <w:ind w:firstLine="420" w:firstLineChars="200"/>
        <w:jc w:val="both"/>
        <w:rPr>
          <w:rFonts w:ascii="Times New Roman" w:hAnsi="Times New Roman" w:eastAsia="楷体_GB2312"/>
          <w:color w:val="000000"/>
          <w:sz w:val="21"/>
          <w:szCs w:val="21"/>
        </w:rPr>
      </w:pPr>
      <w:r>
        <w:rPr>
          <w:rFonts w:hint="eastAsia" w:ascii="Times New Roman" w:hAnsi="Times New Roman" w:eastAsia="楷体_GB2312"/>
          <w:color w:val="000000"/>
          <w:sz w:val="21"/>
          <w:szCs w:val="21"/>
        </w:rPr>
        <w:t>4</w:t>
      </w:r>
      <w:r>
        <w:rPr>
          <w:rFonts w:ascii="Times New Roman" w:hAnsi="Times New Roman" w:eastAsia="楷体_GB2312"/>
          <w:color w:val="000000"/>
          <w:sz w:val="21"/>
          <w:szCs w:val="21"/>
        </w:rPr>
        <w:t>. 同一项目获多级奖项，取最高奖项算分。</w:t>
      </w:r>
    </w:p>
    <w:p w14:paraId="30DD3A11">
      <w:pPr>
        <w:pStyle w:val="5"/>
        <w:widowControl/>
        <w:spacing w:before="0" w:beforeAutospacing="0" w:after="0" w:afterAutospacing="0" w:line="375" w:lineRule="atLeast"/>
        <w:ind w:firstLine="420" w:firstLineChars="200"/>
        <w:jc w:val="both"/>
        <w:rPr>
          <w:rFonts w:ascii="Times New Roman" w:hAnsi="Times New Roman" w:eastAsia="楷体_GB2312"/>
          <w:color w:val="000000"/>
          <w:sz w:val="21"/>
          <w:szCs w:val="21"/>
        </w:rPr>
      </w:pPr>
      <w:r>
        <w:rPr>
          <w:rFonts w:hint="eastAsia" w:ascii="Times New Roman" w:hAnsi="Times New Roman" w:eastAsia="楷体_GB2312"/>
          <w:color w:val="000000"/>
          <w:sz w:val="21"/>
          <w:szCs w:val="21"/>
        </w:rPr>
        <w:t>5</w:t>
      </w:r>
      <w:r>
        <w:rPr>
          <w:rFonts w:ascii="Times New Roman" w:hAnsi="Times New Roman" w:eastAsia="楷体_GB2312"/>
          <w:color w:val="000000"/>
          <w:sz w:val="21"/>
          <w:szCs w:val="21"/>
        </w:rPr>
        <w:t>. 教学质量工程项目包括：专业建设项目、课程建设项目、实验教学示范中心和英语语言学习示范中心建设项目、教学团队建设项目。</w:t>
      </w:r>
    </w:p>
    <w:p w14:paraId="5A0163AF">
      <w:pPr>
        <w:pStyle w:val="5"/>
        <w:widowControl/>
        <w:spacing w:before="0" w:beforeAutospacing="0" w:after="0" w:afterAutospacing="0" w:line="375" w:lineRule="atLeast"/>
        <w:ind w:firstLine="420" w:firstLineChars="200"/>
        <w:jc w:val="both"/>
        <w:rPr>
          <w:rFonts w:ascii="仿宋_GB2312" w:hAnsi="仿宋_GB2312" w:eastAsia="仿宋_GB2312"/>
          <w:sz w:val="32"/>
        </w:rPr>
      </w:pPr>
      <w:r>
        <w:rPr>
          <w:rFonts w:hint="eastAsia" w:ascii="Times New Roman" w:hAnsi="Times New Roman" w:eastAsia="楷体_GB2312"/>
          <w:color w:val="000000"/>
          <w:sz w:val="21"/>
          <w:szCs w:val="21"/>
        </w:rPr>
        <w:t>6. 同一篇论文在教学研究论文和指导学生科研项目中不重复申请计分。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00003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D600F">
    <w:pPr>
      <w:pStyle w:val="3"/>
      <w:ind w:right="320" w:rightChars="100"/>
      <w:jc w:val="center"/>
      <w:rPr>
        <w:rFonts w:ascii="宋体" w:eastAsia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1F7674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7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1F7674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7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8D62B">
    <w:pPr>
      <w:pStyle w:val="3"/>
      <w:ind w:left="320" w:leftChars="100"/>
      <w:jc w:val="center"/>
      <w:rPr>
        <w:rFonts w:ascii="宋体" w:eastAsia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B1A7C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6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7B1A7C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6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evenAndOddHeaders w:val="1"/>
  <w:drawingGridHorizontalSpacing w:val="158"/>
  <w:drawingGridVerticalSpacing w:val="29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BE5"/>
    <w:rsid w:val="000117D3"/>
    <w:rsid w:val="00046E4F"/>
    <w:rsid w:val="00093F0C"/>
    <w:rsid w:val="000D38EA"/>
    <w:rsid w:val="00126351"/>
    <w:rsid w:val="00152CD3"/>
    <w:rsid w:val="002151CC"/>
    <w:rsid w:val="00221068"/>
    <w:rsid w:val="0022391D"/>
    <w:rsid w:val="002A41DF"/>
    <w:rsid w:val="002B0E00"/>
    <w:rsid w:val="002B1860"/>
    <w:rsid w:val="002F0499"/>
    <w:rsid w:val="00356FE6"/>
    <w:rsid w:val="00365F4C"/>
    <w:rsid w:val="00392AC9"/>
    <w:rsid w:val="003D1D59"/>
    <w:rsid w:val="003E6DB7"/>
    <w:rsid w:val="00427309"/>
    <w:rsid w:val="00470752"/>
    <w:rsid w:val="004A6CCD"/>
    <w:rsid w:val="004A743B"/>
    <w:rsid w:val="00505EF1"/>
    <w:rsid w:val="005B4EA1"/>
    <w:rsid w:val="006028FC"/>
    <w:rsid w:val="006850D4"/>
    <w:rsid w:val="006F6843"/>
    <w:rsid w:val="007176F2"/>
    <w:rsid w:val="00732CFA"/>
    <w:rsid w:val="0076717E"/>
    <w:rsid w:val="00881695"/>
    <w:rsid w:val="00902470"/>
    <w:rsid w:val="00981A2A"/>
    <w:rsid w:val="00993CFC"/>
    <w:rsid w:val="009A48B6"/>
    <w:rsid w:val="009E47F2"/>
    <w:rsid w:val="009E4ED3"/>
    <w:rsid w:val="00A05647"/>
    <w:rsid w:val="00A30BE5"/>
    <w:rsid w:val="00AA3B2E"/>
    <w:rsid w:val="00BD0957"/>
    <w:rsid w:val="00C32D44"/>
    <w:rsid w:val="00C71720"/>
    <w:rsid w:val="00D729E9"/>
    <w:rsid w:val="00D7777E"/>
    <w:rsid w:val="00D86B08"/>
    <w:rsid w:val="00DC348D"/>
    <w:rsid w:val="00DD6A31"/>
    <w:rsid w:val="00DE6DDD"/>
    <w:rsid w:val="00E115CA"/>
    <w:rsid w:val="00EC1E5C"/>
    <w:rsid w:val="00EC356E"/>
    <w:rsid w:val="00ED2DBF"/>
    <w:rsid w:val="00F20C5B"/>
    <w:rsid w:val="00F22615"/>
    <w:rsid w:val="00F516D1"/>
    <w:rsid w:val="00FA4DA8"/>
    <w:rsid w:val="00FC5DFD"/>
    <w:rsid w:val="04930623"/>
    <w:rsid w:val="05D60990"/>
    <w:rsid w:val="08723CFA"/>
    <w:rsid w:val="0A2914EB"/>
    <w:rsid w:val="0AE76CB9"/>
    <w:rsid w:val="0B6535D4"/>
    <w:rsid w:val="0BA221AD"/>
    <w:rsid w:val="0D564BD4"/>
    <w:rsid w:val="130C13EC"/>
    <w:rsid w:val="14F670A8"/>
    <w:rsid w:val="17832E94"/>
    <w:rsid w:val="18617483"/>
    <w:rsid w:val="1887003C"/>
    <w:rsid w:val="1EF74E58"/>
    <w:rsid w:val="1F9E547C"/>
    <w:rsid w:val="2096173F"/>
    <w:rsid w:val="20D14264"/>
    <w:rsid w:val="212760C9"/>
    <w:rsid w:val="22375013"/>
    <w:rsid w:val="22631AF5"/>
    <w:rsid w:val="23E546D8"/>
    <w:rsid w:val="265E685B"/>
    <w:rsid w:val="27A41B81"/>
    <w:rsid w:val="27CB7F20"/>
    <w:rsid w:val="291D6E44"/>
    <w:rsid w:val="2BD73035"/>
    <w:rsid w:val="2ED30198"/>
    <w:rsid w:val="30AF5C5F"/>
    <w:rsid w:val="38B22A36"/>
    <w:rsid w:val="3C9C7C85"/>
    <w:rsid w:val="400E55CD"/>
    <w:rsid w:val="404C71CF"/>
    <w:rsid w:val="406E1738"/>
    <w:rsid w:val="417029B5"/>
    <w:rsid w:val="434C25EB"/>
    <w:rsid w:val="43747266"/>
    <w:rsid w:val="45465496"/>
    <w:rsid w:val="469C1CC0"/>
    <w:rsid w:val="477834DC"/>
    <w:rsid w:val="48D0075C"/>
    <w:rsid w:val="4D330192"/>
    <w:rsid w:val="4DB6716F"/>
    <w:rsid w:val="4F34062D"/>
    <w:rsid w:val="51F44654"/>
    <w:rsid w:val="52BA7616"/>
    <w:rsid w:val="534C0CB8"/>
    <w:rsid w:val="53D209B9"/>
    <w:rsid w:val="545A35BB"/>
    <w:rsid w:val="553036C3"/>
    <w:rsid w:val="55767526"/>
    <w:rsid w:val="559317CE"/>
    <w:rsid w:val="559F3071"/>
    <w:rsid w:val="56841AD5"/>
    <w:rsid w:val="5AB24CE1"/>
    <w:rsid w:val="5FCC6CE5"/>
    <w:rsid w:val="61B03101"/>
    <w:rsid w:val="67D068B1"/>
    <w:rsid w:val="6B2111D2"/>
    <w:rsid w:val="6D04544F"/>
    <w:rsid w:val="6DE2733E"/>
    <w:rsid w:val="6F7E0646"/>
    <w:rsid w:val="70E4501C"/>
    <w:rsid w:val="744926C5"/>
    <w:rsid w:val="74A93B13"/>
    <w:rsid w:val="75F61BD9"/>
    <w:rsid w:val="76312C11"/>
    <w:rsid w:val="778E5E41"/>
    <w:rsid w:val="77A954F6"/>
    <w:rsid w:val="7B050A96"/>
    <w:rsid w:val="7C2B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 w:line="15" w:lineRule="atLeast"/>
      <w:jc w:val="left"/>
    </w:pPr>
    <w:rPr>
      <w:rFonts w:ascii="瀹嬩綋" w:hAnsi="瀹嬩綋" w:eastAsia="瀹嬩綋"/>
      <w:color w:val="333333"/>
      <w:kern w:val="0"/>
      <w:sz w:val="18"/>
      <w:szCs w:val="18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customStyle="1" w:styleId="10">
    <w:name w:val="版头发文字号和签发人"/>
    <w:basedOn w:val="1"/>
    <w:qFormat/>
    <w:uiPriority w:val="0"/>
    <w:pPr>
      <w:ind w:left="316" w:leftChars="100" w:right="316" w:rightChars="100"/>
    </w:pPr>
    <w:rPr>
      <w:rFonts w:hint="eastAsia" w:cs="仿宋_GB2312"/>
    </w:rPr>
  </w:style>
  <w:style w:type="character" w:customStyle="1" w:styleId="11">
    <w:name w:val="页脚 Char"/>
    <w:basedOn w:val="8"/>
    <w:link w:val="3"/>
    <w:qFormat/>
    <w:uiPriority w:val="99"/>
    <w:rPr>
      <w:rFonts w:ascii="仿宋_GB2312" w:hAnsi="仿宋_GB2312" w:eastAsia="仿宋_GB2312" w:cstheme="minorBidi"/>
      <w:kern w:val="2"/>
      <w:sz w:val="18"/>
      <w:szCs w:val="22"/>
    </w:rPr>
  </w:style>
  <w:style w:type="paragraph" w:customStyle="1" w:styleId="12">
    <w:name w:val="全文一级大标题"/>
    <w:basedOn w:val="1"/>
    <w:link w:val="14"/>
    <w:qFormat/>
    <w:uiPriority w:val="0"/>
    <w:pPr>
      <w:jc w:val="center"/>
    </w:pPr>
    <w:rPr>
      <w:rFonts w:ascii="方正小标宋简体" w:hAnsi="GWZT-EN" w:eastAsia="方正小标宋简体" w:cs="GWZT-EN"/>
      <w:sz w:val="44"/>
      <w:szCs w:val="44"/>
    </w:rPr>
  </w:style>
  <w:style w:type="paragraph" w:customStyle="1" w:styleId="13">
    <w:name w:val="全文副标题"/>
    <w:basedOn w:val="1"/>
    <w:qFormat/>
    <w:uiPriority w:val="0"/>
    <w:pPr>
      <w:jc w:val="center"/>
    </w:pPr>
    <w:rPr>
      <w:rFonts w:hint="eastAsia" w:ascii="楷体_GB2312" w:hAnsi="楷体_GB2312" w:eastAsia="楷体_GB2312" w:cs="楷体_GB2312"/>
    </w:rPr>
  </w:style>
  <w:style w:type="character" w:customStyle="1" w:styleId="14">
    <w:name w:val="全文一级大标题 字符"/>
    <w:basedOn w:val="8"/>
    <w:link w:val="12"/>
    <w:qFormat/>
    <w:uiPriority w:val="0"/>
    <w:rPr>
      <w:rFonts w:ascii="方正小标宋简体" w:hAnsi="GWZT-EN" w:eastAsia="方正小标宋简体" w:cs="GWZT-EN"/>
      <w:kern w:val="2"/>
      <w:sz w:val="44"/>
      <w:szCs w:val="44"/>
    </w:rPr>
  </w:style>
  <w:style w:type="paragraph" w:customStyle="1" w:styleId="15">
    <w:name w:val="主送机关"/>
    <w:basedOn w:val="1"/>
    <w:qFormat/>
    <w:uiPriority w:val="0"/>
    <w:rPr>
      <w:rFonts w:hint="eastAsia" w:cs="仿宋_GB2312"/>
    </w:rPr>
  </w:style>
  <w:style w:type="paragraph" w:customStyle="1" w:styleId="16">
    <w:name w:val="文本正文"/>
    <w:basedOn w:val="1"/>
    <w:link w:val="18"/>
    <w:qFormat/>
    <w:uiPriority w:val="0"/>
    <w:pPr>
      <w:ind w:firstLine="632" w:firstLineChars="200"/>
    </w:pPr>
    <w:rPr>
      <w:rFonts w:cs="仿宋_GB2312"/>
    </w:rPr>
  </w:style>
  <w:style w:type="character" w:customStyle="1" w:styleId="17">
    <w:name w:val="批注文字 Char"/>
    <w:basedOn w:val="8"/>
    <w:link w:val="2"/>
    <w:semiHidden/>
    <w:qFormat/>
    <w:uiPriority w:val="99"/>
    <w:rPr>
      <w:rFonts w:ascii="仿宋_GB2312" w:hAnsi="仿宋_GB2312" w:eastAsia="仿宋_GB2312" w:cstheme="minorBidi"/>
      <w:kern w:val="2"/>
      <w:sz w:val="32"/>
      <w:szCs w:val="22"/>
    </w:rPr>
  </w:style>
  <w:style w:type="character" w:customStyle="1" w:styleId="18">
    <w:name w:val="文本正文 字符"/>
    <w:basedOn w:val="8"/>
    <w:link w:val="16"/>
    <w:qFormat/>
    <w:uiPriority w:val="0"/>
    <w:rPr>
      <w:rFonts w:ascii="仿宋_GB2312" w:hAnsi="仿宋_GB2312" w:eastAsia="仿宋_GB2312" w:cs="仿宋_GB2312"/>
      <w:kern w:val="2"/>
      <w:sz w:val="32"/>
      <w:szCs w:val="22"/>
    </w:rPr>
  </w:style>
  <w:style w:type="paragraph" w:customStyle="1" w:styleId="19">
    <w:name w:val="正文一级标题"/>
    <w:basedOn w:val="1"/>
    <w:qFormat/>
    <w:uiPriority w:val="0"/>
    <w:pPr>
      <w:ind w:firstLine="632" w:firstLineChars="200"/>
    </w:pPr>
    <w:rPr>
      <w:rFonts w:hint="eastAsia" w:ascii="黑体" w:hAnsi="黑体" w:eastAsia="黑体" w:cs="黑体"/>
    </w:rPr>
  </w:style>
  <w:style w:type="paragraph" w:customStyle="1" w:styleId="20">
    <w:name w:val="正文二级标题"/>
    <w:basedOn w:val="1"/>
    <w:qFormat/>
    <w:uiPriority w:val="0"/>
    <w:pPr>
      <w:ind w:firstLine="632" w:firstLineChars="200"/>
    </w:pPr>
    <w:rPr>
      <w:rFonts w:hint="eastAsia" w:ascii="楷体_GB2312" w:hAnsi="楷体_GB2312" w:eastAsia="楷体_GB2312" w:cs="楷体_GB2312"/>
    </w:rPr>
  </w:style>
  <w:style w:type="paragraph" w:customStyle="1" w:styleId="21">
    <w:name w:val="正文三级标题"/>
    <w:basedOn w:val="1"/>
    <w:qFormat/>
    <w:uiPriority w:val="0"/>
    <w:pPr>
      <w:ind w:firstLine="632" w:firstLineChars="200"/>
    </w:pPr>
    <w:rPr>
      <w:rFonts w:hint="eastAsia" w:cs="仿宋_GB2312"/>
    </w:rPr>
  </w:style>
  <w:style w:type="paragraph" w:customStyle="1" w:styleId="22">
    <w:name w:val="正文四级标题"/>
    <w:basedOn w:val="1"/>
    <w:qFormat/>
    <w:uiPriority w:val="0"/>
    <w:pPr>
      <w:ind w:firstLine="632" w:firstLineChars="200"/>
    </w:pPr>
    <w:rPr>
      <w:rFonts w:hint="eastAsia" w:cs="仿宋_GB2312"/>
    </w:rPr>
  </w:style>
  <w:style w:type="paragraph" w:customStyle="1" w:styleId="23">
    <w:name w:val="请假出席列席人员"/>
    <w:basedOn w:val="1"/>
    <w:qFormat/>
    <w:uiPriority w:val="0"/>
    <w:pPr>
      <w:ind w:left="1580" w:leftChars="200" w:hanging="948" w:hangingChars="300"/>
    </w:pPr>
    <w:rPr>
      <w:rFonts w:hint="eastAsia" w:cs="仿宋_GB2312"/>
    </w:rPr>
  </w:style>
  <w:style w:type="paragraph" w:customStyle="1" w:styleId="24">
    <w:name w:val="请假出席列席标题"/>
    <w:basedOn w:val="1"/>
    <w:link w:val="25"/>
    <w:qFormat/>
    <w:uiPriority w:val="0"/>
    <w:pPr>
      <w:ind w:firstLine="632" w:firstLineChars="200"/>
    </w:pPr>
    <w:rPr>
      <w:rFonts w:ascii="黑体" w:hAnsi="黑体" w:eastAsia="黑体"/>
    </w:rPr>
  </w:style>
  <w:style w:type="character" w:customStyle="1" w:styleId="25">
    <w:name w:val="请假出席列席标题 字符"/>
    <w:basedOn w:val="8"/>
    <w:link w:val="24"/>
    <w:qFormat/>
    <w:uiPriority w:val="0"/>
    <w:rPr>
      <w:rFonts w:ascii="黑体" w:hAnsi="黑体" w:eastAsia="黑体" w:cstheme="minorBidi"/>
      <w:kern w:val="2"/>
      <w:sz w:val="32"/>
      <w:szCs w:val="22"/>
    </w:rPr>
  </w:style>
  <w:style w:type="paragraph" w:customStyle="1" w:styleId="26">
    <w:name w:val="附件说明（含标题）"/>
    <w:basedOn w:val="1"/>
    <w:qFormat/>
    <w:uiPriority w:val="0"/>
    <w:pPr>
      <w:ind w:left="2053" w:leftChars="200" w:hanging="1421" w:hangingChars="450"/>
    </w:pPr>
    <w:rPr>
      <w:rFonts w:hint="eastAsia" w:cs="仿宋_GB2312"/>
    </w:rPr>
  </w:style>
  <w:style w:type="paragraph" w:customStyle="1" w:styleId="27">
    <w:name w:val="发文机关署名"/>
    <w:basedOn w:val="1"/>
    <w:link w:val="28"/>
    <w:qFormat/>
    <w:uiPriority w:val="0"/>
    <w:pPr>
      <w:wordWrap w:val="0"/>
      <w:ind w:right="1264" w:rightChars="400"/>
      <w:jc w:val="right"/>
    </w:pPr>
    <w:rPr>
      <w:rFonts w:cs="仿宋_GB2312"/>
    </w:rPr>
  </w:style>
  <w:style w:type="character" w:customStyle="1" w:styleId="28">
    <w:name w:val="发文机关署名 字符"/>
    <w:basedOn w:val="8"/>
    <w:link w:val="27"/>
    <w:qFormat/>
    <w:uiPriority w:val="0"/>
    <w:rPr>
      <w:rFonts w:ascii="仿宋_GB2312" w:hAnsi="仿宋_GB2312" w:eastAsia="仿宋_GB2312" w:cs="仿宋_GB2312"/>
      <w:kern w:val="2"/>
      <w:sz w:val="32"/>
      <w:szCs w:val="22"/>
    </w:rPr>
  </w:style>
  <w:style w:type="paragraph" w:customStyle="1" w:styleId="29">
    <w:name w:val="成文日期"/>
    <w:basedOn w:val="1"/>
    <w:link w:val="30"/>
    <w:qFormat/>
    <w:uiPriority w:val="0"/>
    <w:pPr>
      <w:ind w:right="1263" w:rightChars="400"/>
      <w:jc w:val="right"/>
    </w:pPr>
  </w:style>
  <w:style w:type="character" w:customStyle="1" w:styleId="30">
    <w:name w:val="成文日期 字符"/>
    <w:basedOn w:val="8"/>
    <w:link w:val="29"/>
    <w:qFormat/>
    <w:uiPriority w:val="0"/>
    <w:rPr>
      <w:rFonts w:ascii="仿宋_GB2312" w:hAnsi="仿宋_GB2312" w:eastAsia="仿宋_GB2312" w:cstheme="minorBidi"/>
      <w:kern w:val="2"/>
      <w:sz w:val="32"/>
      <w:szCs w:val="22"/>
    </w:rPr>
  </w:style>
  <w:style w:type="paragraph" w:customStyle="1" w:styleId="31">
    <w:name w:val="签发人职务"/>
    <w:basedOn w:val="1"/>
    <w:link w:val="32"/>
    <w:qFormat/>
    <w:uiPriority w:val="0"/>
    <w:pPr>
      <w:ind w:right="1263" w:rightChars="400"/>
      <w:jc w:val="right"/>
    </w:pPr>
  </w:style>
  <w:style w:type="character" w:customStyle="1" w:styleId="32">
    <w:name w:val="签发人职务 字符"/>
    <w:basedOn w:val="8"/>
    <w:link w:val="31"/>
    <w:qFormat/>
    <w:uiPriority w:val="0"/>
    <w:rPr>
      <w:rFonts w:ascii="仿宋_GB2312" w:hAnsi="仿宋_GB2312" w:eastAsia="仿宋_GB2312" w:cstheme="minorBidi"/>
      <w:kern w:val="2"/>
      <w:sz w:val="32"/>
      <w:szCs w:val="22"/>
    </w:rPr>
  </w:style>
  <w:style w:type="paragraph" w:customStyle="1" w:styleId="33">
    <w:name w:val="附注"/>
    <w:basedOn w:val="1"/>
    <w:qFormat/>
    <w:uiPriority w:val="0"/>
    <w:pPr>
      <w:ind w:firstLine="632" w:firstLineChars="200"/>
    </w:pPr>
    <w:rPr>
      <w:rFonts w:hint="eastAsia"/>
    </w:rPr>
  </w:style>
  <w:style w:type="paragraph" w:customStyle="1" w:styleId="34">
    <w:name w:val="附件说明（无标题）"/>
    <w:basedOn w:val="1"/>
    <w:qFormat/>
    <w:uiPriority w:val="0"/>
    <w:pPr>
      <w:ind w:left="2053" w:leftChars="500" w:hanging="474" w:hangingChars="150"/>
    </w:pPr>
    <w:rPr>
      <w:rFonts w:hint="eastAsia" w:cs="仿宋_GB2312"/>
    </w:rPr>
  </w:style>
  <w:style w:type="paragraph" w:customStyle="1" w:styleId="35">
    <w:name w:val="附录标题"/>
    <w:basedOn w:val="1"/>
    <w:link w:val="36"/>
    <w:qFormat/>
    <w:uiPriority w:val="0"/>
    <w:rPr>
      <w:rFonts w:hint="eastAsia" w:ascii="黑体" w:hAnsi="黑体" w:eastAsia="黑体" w:cs="黑体"/>
    </w:rPr>
  </w:style>
  <w:style w:type="character" w:customStyle="1" w:styleId="36">
    <w:name w:val="附录标题 字符"/>
    <w:basedOn w:val="8"/>
    <w:link w:val="35"/>
    <w:qFormat/>
    <w:uiPriority w:val="0"/>
    <w:rPr>
      <w:rFonts w:ascii="黑体" w:hAnsi="黑体" w:eastAsia="黑体" w:cs="黑体"/>
      <w:kern w:val="2"/>
      <w:sz w:val="32"/>
      <w:szCs w:val="22"/>
    </w:rPr>
  </w:style>
  <w:style w:type="paragraph" w:customStyle="1" w:styleId="37">
    <w:name w:val="签名章"/>
    <w:basedOn w:val="1"/>
    <w:link w:val="38"/>
    <w:qFormat/>
    <w:uiPriority w:val="0"/>
    <w:pPr>
      <w:ind w:right="1263" w:rightChars="400"/>
      <w:jc w:val="right"/>
    </w:pPr>
  </w:style>
  <w:style w:type="character" w:customStyle="1" w:styleId="38">
    <w:name w:val="签名章 字符"/>
    <w:basedOn w:val="8"/>
    <w:link w:val="37"/>
    <w:qFormat/>
    <w:uiPriority w:val="0"/>
    <w:rPr>
      <w:rFonts w:ascii="仿宋_GB2312" w:hAnsi="仿宋_GB2312" w:eastAsia="仿宋_GB2312" w:cstheme="minorBidi"/>
      <w:kern w:val="2"/>
      <w:sz w:val="32"/>
      <w:szCs w:val="22"/>
    </w:rPr>
  </w:style>
  <w:style w:type="paragraph" w:customStyle="1" w:styleId="39">
    <w:name w:val="a公文标题"/>
    <w:basedOn w:val="1"/>
    <w:qFormat/>
    <w:uiPriority w:val="0"/>
    <w:pPr>
      <w:spacing w:line="620" w:lineRule="exact"/>
      <w:jc w:val="center"/>
    </w:pPr>
    <w:rPr>
      <w:rFonts w:eastAsia="方正小标宋简体"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eca0c11c-acdb-4e2e-b7b4-bf28ea7575a4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89E93D4</paraID>
      <start>4</start>
      <end>5</end>
      <status>modified</status>
      <modifiedWord>：</modifiedWord>
      <trackRevisions>false</trackRevisions>
    </reviewItem>
    <reviewItem>
      <errorID>fdae2b15-b2c6-49d9-aa11-ddfb0f39b995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610256CB</paraID>
      <start>4</start>
      <end>5</end>
      <status>modified</status>
      <modifiedWord>：</modifiedWord>
      <trackRevisions>false</trackRevisions>
    </reviewItem>
    <reviewItem>
      <errorID>0bff80c4-16a4-4568-980e-4a8800378250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3E583427</paraID>
      <start>9</start>
      <end>10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1f7d405-0c33-4d23-8bd6-221f0946b1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8</Pages>
  <Words>4283</Words>
  <Characters>4634</Characters>
  <Lines>34</Lines>
  <Paragraphs>9</Paragraphs>
  <TotalTime>0</TotalTime>
  <ScaleCrop>false</ScaleCrop>
  <LinksUpToDate>false</LinksUpToDate>
  <CharactersWithSpaces>4723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2025-06-17T06:54:00Z</dcterms:created>
  <dc:creator>wj</dc:creator>
  <cp:lastModifiedBy>汪亮</cp:lastModifiedBy>
  <dcterms:modified xsi:type="dcterms:W3CDTF">2026-10-09T07:27:48Z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eyJoZGlkIjoiM2RiZTE4MjU5OWQ5M2QyNjAzZWNmYjliYmU5YTMzZWUiLCJ1c2VySWQiOiIxNjg4NzM3MjM5In0=</vt:lpwstr>
  </property>
  <property fmtid="{D5CDD505-2E9C-101B-9397-08002B2CF9AE}" pid="3" name="KSOProductBuildVer">
    <vt:lpwstr>2052-12.1.0.28043</vt:lpwstr>
  </property>
  <property fmtid="{D5CDD505-2E9C-101B-9397-08002B2CF9AE}" pid="4" name="ICV">
    <vt:lpwstr>9F46E5532241447D9CBE35ECC8B3A9D3_13</vt:lpwstr>
  </property>
</Properties>
</file>